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Hoja de ruta por ráfagas — Hitos 5 a 9</w:t>
      </w:r>
    </w:p>
    <w:p>
      <w:pPr>
        <w:spacing w:after="4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Marketplace C2C de segunda mano · Programa hacia un producto completo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Documento de dirección. Hitos 5–6 firmes; 7–9 como boceto a re-detallar al llegar, cada uno con su ráfaga de auditoría/diseño de apertura.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</w:rPr>
        <w:t xml:space="preserve">1. Punto de partida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 proyecto tiene cerrado el MVP y los hitos siguientes: la red de seguridad de pruebas (Fase T) y CI, el backoffice completo (anuncios, usuarios, reportes, categorías, ajustes, con AuditLog y RolesGuard), el blog, los favoritos, las valoraciones y el sistema de facturación del Hito 4 (wallet + créditos, packs y destacado por Redsys, bump, Plan Pro por Stripe, backoffice de billing con acreditación manual).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Cabos pendientes por credenciales externas (en el aire, sin fecha): la acreditación E2E de Redsys (ciclo notificación→cola→Wallet/CreditLedger) y la facturación fiscal RF.13 (proveedor tipo Holded/Factusol + VeriFactu). Ambas tienen la lógica diseñada o cubierta; solo falta el detonador real, desbloqueable en cuanto lleguen las credenciales. Existe además deuda técnica menor catalogada en estado-tecnico.md, casi toda de bajo esfuerzo y relevante sobre todo en producción.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Este programa parte de ahí y ordena las propuestas pendientes hacia un producto completo.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</w:rPr>
        <w:t xml:space="preserve">2. Cómo está organizado el programa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 orden de los hitos sigue la dependencia y el riesgo, no el apetito: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Cimientos primero (Hito 5): la separación de roles admin/moderador, las categorías/atributos y la localización son la base de la que dependen el backoffice, las tarjetas, la búsqueda, el mapa, la portada y el perfil. Tocarlos después sería rehacer el trabajo.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Descubrimiento después (Hito 6): búsqueda, mapa, portada y patrocinados se construyen sobre esos cimientos y se razonan juntos (orden, destacados, patrocinados).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Mejoras independientes (Hito 7): mensajería, valoraciones, blog y registro social no se bloquean entre sí ni con el descubrimiento; se agrupan por afinidad.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Monetización y growth (Hito 8): profundizar en Pro/facturación, y herramientas de presentación de marketing (barra promocional/banners), sobre el motor de cobro ya existente.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Pulido al final (Hito 9): navegación, interfaz, estilo y testing exhaustivo tienen sentido sobre la superficie ya completa.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La deuda técnica no se aparca toda al final: cada hito cierra la deuda del sistema que ya está tocando (es más barato arreglarlo cuando ya estás en ese código), y una fase de endurecimiento final recoge lo transversal y lo de producción. El reparto está en la sección 8.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</w:rPr>
        <w:t xml:space="preserve">3. Reglas de ejecución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Cada ráfaga sigue el mismo ciclo, en línea con las normas del proyecto: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Examinar antes de tocar: leer la documentación del repositorio —sobre todo estado-tecnico.md— y entender el funcionamiento y la lógica del sistema implicado antes de implementar 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Planificar sin romper: diseñar el cambio (ráfagas Opus) procurando no afectar a ningún sistema dependiente; las ráfagas de auditoría/diseño abren cada fase justo por esto.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tarea por ráfaga: alcance pequeño y cerrado; /clear entre ráfagas; Sonnet por defecto, Opus solo en las ráfagas de diseño/auditoría.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Cerrar bien: al terminar, explicar lo realizado y testear de verdad (deliberadamente provocar los fallos, no solo tests en verde).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Documentar siempre: cuando se logra un avance, actualizar /docs (estado-tecnico.md y el documento de diseño correspondiente). Mantener /docs al día es parte de la ráfaga.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</w:rPr>
        <w:t xml:space="preserve">4. Hito 5 — Cimientos: roles, catálogo y localización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Objetivo. Asentar la base de datos y permisos sobre la que se apoya todo lo demás: separar los roles admin/moderador en el backoffice, extender el sistema de categorías/atributos, y estructurar la localización. Consolidar estos cimientos primero de-riesga el resto del programa.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Por qué aquí. Va primero por dependencia pura: casi todas las propuestas restantes leen permisos, categorías o localización. Tocar estos cimientos cuando ya hay descubrimiento construido encima sería rehacer dos veces.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Deuda que cierra: renombrado type→itemType y normalización de size en el seed (Fase 5.2); planificación del cambio de geocoder Nominatim→MapTiler (Fase 5.3).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5.1 — Separación de roles admin/moderador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C5700"/>
                <w:sz w:val="21"/>
                <w:szCs w:val="21"/>
              </w:rPr>
              <w:t xml:space="preserve">Ajuste sobre el plan original: </w:t>
            </w:r>
            <w:r>
              <w:rPr>
                <w:rFonts w:ascii="Arial" w:cs="Arial" w:eastAsia="Arial" w:hAnsi="Arial"/>
                <w:color w:val="9C5700"/>
                <w:sz w:val="21"/>
                <w:szCs w:val="21"/>
              </w:rPr>
              <w:t xml:space="preserve">fase nueva añadida respecto al plan original. Hoy admin y moderador pueden hacer lo mismo en /admin; esto es deuda de seguridad transversal. Va primera y aislada porque define la frontera de permisos de todo el backoffice, sobre la que nacen categorías (admin-only) y todo lo demás. Aislarla evita acoplar la decisión de seguridad con la implementación de categorías.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Objetivo. Definir y aplicar la matriz de permisos rol×sección en todo /admin: qué puede ver y hacer un MODERATOR frente a un ADMIN. Hoy ambos roles tienen el mismo acceso.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RR5.1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Auditar qué hace cada rol hoy en todo /admin (anuncios, usuarios, reportes, categorías, ajustes, blog, billing) y diseñar la matriz rol×sección: qué es MODERATOR+ADMIN (moderación) y qué es ADMIN-only (categorías, billing, facturación, ajustes del sistema, gestión de roles). Decisión de producto explícita por sección.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RR5.2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aplicar los RolesGuard correctos por controller/endpoint según la matriz. Verificar que un MODERATOR recibe 403 en lo ADMIN-only y mantiene acceso a lo suyo.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RR5.3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middleware y UI del backoffice condicionados al rol (el moderador no ve ni accede a las secciones ADMIN-only). Las dos capas: middleware protege la UI, guard protege los datos.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5.2 — Sistema de categorías y atributos (propuesta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C5700"/>
                <w:sz w:val="21"/>
                <w:szCs w:val="21"/>
              </w:rPr>
              <w:t xml:space="preserve">Ajuste sobre el plan original: </w:t>
            </w:r>
            <w:r>
              <w:rPr>
                <w:rFonts w:ascii="Arial" w:cs="Arial" w:eastAsia="Arial" w:hAnsi="Arial"/>
                <w:color w:val="9C5700"/>
                <w:sz w:val="21"/>
                <w:szCs w:val="21"/>
              </w:rPr>
              <w:t xml:space="preserve">“extender”, no “rehacer”. Ya existe un sistema de atributos funcionando e indexado en Meilisearch (attributeSchema, VARIABLE_ATTRIBUTE_KEYS, toDocument, SearchQueryDto). La herencia padre→hija, los 2 atributos de tarjeta y el wizard se construyen extendiendo lo existente, no reemplazándolo. La auditoría RC5.1 decide explícitamente qué se conserva y qué se extiende; por defecto, extender.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Objetivo. Atributos por categoría con herencia padre→hija, 2 atributos ‘de tarjeta’ visibles por categoría, y wizard que muestra los campos según la categoría elegida. Toda la gestión desde admin, accesible solo para ADMIN (no MODERATOR), apoyándose en la frontera definida en 5.1.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RC5.1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Auditar el sistema actual (attributeSchema, VARIABLE_ATTRIBUTE_KEYS, toDocument, SearchQueryDto) y diseñar la EXTENSIÓN: modelo de atributos con herencia padre→hija, marca de los 2 atributos de tarjeta, gestión admin-only, y plan para no romper búsqueda ni el índice de Meili ni el seed. Decide qué se conserva y qué se extiende. Resuelve de paso type→itemType y size.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RC5.2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migración del esquema de atributos (herencia + flag de tarjeta) + endpoints admin de gestión por categoría (RolesGuard ADMIN) + normalización del seed (itemType, size).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RC5.3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resolver atributos heredados para el wizard de creación y propagar los 2 atributos de tarjeta al documento de indexado y a findMany, sin romper el orden ni los filtros existentes.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RC5.4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admin: UI de gestión de atributos por categoría (definir, marcar los 2 de tarjeta, ver herencia), restringida a ADMIN.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RC5.5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público: wizard que muestra los atributos adicionales según categoría (con herencia) + ListingCard que pinta los 2 atributos destacados de la categoría.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5.3 — Localización estructurada y perfil (propuestas 2 y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C5700"/>
                <w:sz w:val="21"/>
                <w:szCs w:val="21"/>
              </w:rPr>
              <w:t xml:space="preserve">Ajuste sobre el plan original: </w:t>
            </w:r>
            <w:r>
              <w:rPr>
                <w:rFonts w:ascii="Arial" w:cs="Arial" w:eastAsia="Arial" w:hAnsi="Arial"/>
                <w:color w:val="9C5700"/>
                <w:sz w:val="21"/>
                <w:szCs w:val="21"/>
              </w:rPr>
              <w:t xml:space="preserve">categorías (5.2) y localización (5.3) son cimientos independientes (no hay dependencia entre la herencia de atributos y el autocompletado de localidades). Pueden reordenarse entre sí si en su momento se quiere priorizar la localización, que desbloquea el mapa y la portada del Hito 6.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Objetivo. Cambiar ciudad/provincia/CP de texto libre a autocompletado (text + select) en creación, perfil y búsqueda. Añadir CP e imagen al perfil; si el usuario los guarda, prefill por defecto en la creación de anuncios. (El mapa de resultados va al Hito 6.)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RL5.1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Diseñar la localización estructurada: fuente de datos de localidades/provincias/CP de España (dataset local vs geocoder), modelo (campos estructurados en Listing y User), componente autocomplete, prefill perfil→creación e imagen de perfil. Contempla la migración Nominatim→MapTiler.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RL5.2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endpoint/dataset de autocompletado (provincia/ciudad/CP), campos estructurados en User (incl. CP) y Listing, y lógica de prefill en la creación.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RL5.3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componente autocomplete reutilizable (text + select) e integración en creación de anuncios, perfil y filtro de búsqueda.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RL5.4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/perfil con campos de localización funcionales + imagen de perfil (upload vía /media) + prefill por defecto en la creación.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</w:rPr>
        <w:t xml:space="preserve">5. Hito 6 — Descubrimiento: búsqueda, portada, destacados y patrocinados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Objetivo. Construir toda la capa de descubrimiento sobre los cimientos del Hito 5: orden y presentación de la búsqueda, mapa de resultados, portada con buscador estilo Milanuncios, y anuncios patrocinados.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Por qué aquí. Depende directamente de categorías y localización (Hito 5). Reúne todo lo que afecta a cómo el usuario encuentra y ve los anuncios, para razonar el orden y los destacados/patrocinados de forma conjunta.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6.1 — Búsqueda: orden, texto y presentación de destacados (propuesta 4)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Objetivo. Entender el orden actual de /búsqueda y decidir cómo se distribuyen y marcan los destacados en la interfaz. Añadir filtro de texto en la propia página.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RB6.1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Auditar el orden actual (ranking rules de Meili, boostScore/sortDate, desempates) y diseñar la presentación de destacados (intercalado/posiciones/marcado) y el filtro de texto en la página. Sienta las reglas que consumirán los patrocinados (6.4).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RB6.2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ajustes de orden/relevancia y soporte del filtro de texto en /búsqueda según el diseño.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RB6.3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input de texto en /búsqueda + presentación visual de destacados.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6.2 — Mapa de resultados (propuesta 2, parte mapa)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Objetivo. Vista de mapa en el filtro de búsqueda con los anuncios como marcadores; al seleccionar uno se muestra su información.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RM6.1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Diseñar el mapa: librería (Leaflet/MapLibre + tiles), alimentación de marcadores desde los resultados (con _geo ya disponible), popup de info, rendimiento (clustering, límites) y toggle lista/mapa.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RM6.2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vista de mapa con marcadores y popups de info + alternancia lista/mapa en el filtro de búsqueda.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6.3 — Portada y buscador (propuesta 10)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Objetivo. Renovar la portada y, sobre todo, el buscador estilo Milanuncios: selector de categorías + selector de alcance (localidad/provincia/país/cerca de mí).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RP6.1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Diseñar el buscador compuesto: selector de categorías (sobre el árbol del Hito 5) + selector de alcance (sobre la localización del Hito 5) y su mapeo a la query de /búsqueda; y el rediseño de la portada.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RP6.2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buscador compuesto (categoría + alcance) en la portada y su enrutado a /búsqueda.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RP6.3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refresco visual de la portada (hero, categorías, secciones de anuncios).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6.4 — Anuncios patrocinados (propuesta 11)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Objetivo. Anuncios creados manualmente desde /admin que se comportan como los destacados en el orden de /búsqueda, pero cuyo clic envía a un enlace externo. Vinculados a una categoría hoja o padre.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RS6.1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Diseñar los patrocinados: modelo (SponsoredAd con enlace externo, categoría hoja/padre, vigencia), inyección en el orden de /búsqueda reutilizando las reglas de 6.1, gestión desde /admin (ADMIN-only por 5.1), y la distinción clara frente a los destacados (clic externo, sin ficha propia).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RS6.2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modelo + endpoints admin CRUD + inyección de patrocinados en los resultados por categoría.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RS6.3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render del patrocinado en resultados (marcado ‘Patrocinado’, clic→enlace externo con rel=‘sponsored noopener’) + UI admin de gestión.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</w:rPr>
        <w:t xml:space="preserve">6. Hito 7 — Comunicación, confianza y contenido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Objetivo. Mejoras de cara al usuario relativamente independientes de los cimientos: unificar la mensajería y cerrar el ciclo de venta+valoración, enriquecer el blog y convertirlo en hub de manual/legal, y añadir registro social.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Por qué aquí. No bloquea ni es bloqueado por el descubrimiento; se agrupa por afinidad (comunicación/confianza/contenido/acceso). Cada fase cierra además la deuda del sistema que toca.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Deuda que cierra: conversation:read en tiempo real (Fase 7.1); DELETE /media y huérfanas, página de tag SEO del blog (Fase 7.2).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7.1 — Mensajería unificada, venta y valoraciones (propuesta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RM7.1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Diseñar la mensajería unificada (vista maestra-detalle), el flujo ‘a quién se lo vendí’ (desde chat y /mis-anuncios → vincula comprador y dispara la valoración) y las mejoras de valoraciones. Incluye cerrar conversation:read en tiempo real.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RM7.2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marcar comprador en la venta (soldToUserId), evento conversation:read en el gateway, y ganchos de valoración tras venta.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RM7.3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vista unificada de mensajería (maestra-detalle) con lectura en vivo del contador de no leídos.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RM7.4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acción ‘se lo vendí a…’ desde el chat y desde /mis-anuncios + mejoras de la UI de valoraciones.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7.2 — Blog enriquecido y hub de contenido (propuesta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RB7.1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Diseñar el blog enriquecido: contenido por bloques (párrafos, imágenes, FAQ, ilustraciones intercaladas), el tipo ‘entrada especial’ (manual, legal), el hub del manual de uso y la página /sobre-nosotros SEO. Contempla DELETE /media (huérfanas) y la página de tag con URL propia.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RB7.2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modelo de contenido por bloques / posts especiales + DELETE /media/:id + limpieza de imágenes huérfanas.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RB7.3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admin: editor enriquecido por bloques (imagen, FAQ, ilustración entre párrafos).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RB7.4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público: render de bloques, hub del manual, páginas legales y /sobre-nosotros.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7.3 — Registro social (propuesta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RA7.1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Diseñar el registro social: proveedores (Google, etc.), vinculación con cuentas existentes del mismo email, verificación de email y modelo de cuentas vinculadas, conciliando con el CredentialsProvider actual de Next-Auth v5.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RA7.2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Backend/Auth: proveedores OAuth + vinculación de cuentas + emailVerified.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RA7.3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botones de registro/login social y su flujo.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</w:rPr>
        <w:t xml:space="preserve">7. Hito 8 — Monetización avanzada y growth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Objetivo. Profundizar en el sistema de facturación y la propuesta Pro (ventajas, estadísticas, interfaz, control de precios y créditos), y dotar al admin de una barra promocional / banners de presentación.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Por qué aquí. Construye sobre el sistema de facturación del Hito 4 ya en producción interna; las estadísticas Pro se nutren mejor cuando el resto del producto ya genera actividad.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Deuda que cierra: verificación de la renovación de suscripción Pro (test clock) y actualización de la regla obsoleta de Definicion_MVP (Fase 8.1).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8.1 — Auditoría y mejora de facturación + Pro (propuesta 7)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Objetivo. Investigar a fondo el sistema de facturación y las ventajas Pro. Estadísticas e interfaz Pro. Examinar y mejorar el nivel de control y configuración desde backoffice de precios de packs, créditos por pack y relación créditos/packs.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RF8.1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Auditoría exhaustiva del sistema de facturación (catálogo, packs, créditos, entitlements, Pro) y diseño de mejoras: ventajas Pro, estadísticas Pro, interfaz Pro, y control/configuración de precios-packs-créditos desde backoffice. Incluye verificar la renovación Pro (test clock) y actualizar Definicion_MVP.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RF8.2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configuración de packs/créditos/precios desde el backoffice + verificación de la renovación de suscripción Pro.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RF8.3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estadísticas Pro (datos del panel del vendedor Pro: visitas, contactos, rendimiento de destacados).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RF8.4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interfaz Pro (panel de estadísticas, gestión de suscripción, ventajas visibles) y la configuración de catálogo en /admin.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8.2 — Barra promocional y banners (propuesta 9, parte presentación)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C5700"/>
                <w:sz w:val="21"/>
                <w:szCs w:val="21"/>
              </w:rPr>
              <w:t xml:space="preserve">Ajuste sobre el plan original: </w:t>
            </w:r>
            <w:r>
              <w:rPr>
                <w:rFonts w:ascii="Arial" w:cs="Arial" w:eastAsia="Arial" w:hAnsi="Arial"/>
                <w:color w:val="9C5700"/>
                <w:sz w:val="21"/>
                <w:szCs w:val="21"/>
              </w:rPr>
              <w:t xml:space="preserve">reenfocada a SOLO presentación de marketing (barra horizontal sobre el header con mensajes en carrusel, banners y reclamos visuales, gestionados desde /admin). Queda FUERA de alcance, por ahora, aplicar descuentos al cobro de packs/destacados/Pro: tocar el cálculo de importes tiene implicaciones fiscales (IVA, Transaction, factura) y, si se hace, será una ráfaga aparte con tratamiento fiscal serio, no una tarea de marketing.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Objetivo. Barra horizontal sobre el header con mensajes tipo carrusel y banners/reclamos, gestionables desde /admin (vigencia, orden). Sin lógica de descuento en el cobro.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RC8.1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Diseñar la barra promocional superior y los banners: modelo de mensajes/reclamos (texto, enlace, vigencia, orden), gestión desde /admin (ADMIN-only), y el endpoint público que alimenta la barra. Sin tocar el motor de cobro.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RC8.2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modelo de mensajes/banners + endpoints admin de gestión + endpoint público de los mensajes activos de la barra.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RC8.3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Frontend: barra promocional (carrusel) sobre el header + UI admin de gestión de mensajes y banners.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</w:rPr>
        <w:t xml:space="preserve">8. Hito 9 — Pulido y endurecimiento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Objetivo. La pasada de cierre: revisar la navegación y los flujos de toda la app, un pase de interfaz/estilo/contenido coherente, y cerrar la deuda técnica transversal con testing exhaustivo de cada sistema.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Por qué aquí. Se hace mejor cuando el producto ya está completo: navegación, estilo y testing exhaustivo tienen sentido sobre la superficie final, no sobre piezas a medio construir.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9.1 — Navegación y flujos (propuesta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RN9.1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Auditar los flujos de usuario (mapa de pantallas y transiciones) y diseñar las correcciones de navegación (callejones sin salida, migas, estados vacíos, coherencia).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RN9.2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las correcciones de navegación priorizadas.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9.2 — Interfaz, estilo y contenido (propuestas 13 y 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RU9.1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Diseñar el pase de interfaz y estilo (sistema visual coherente, design tokens, copys), apoyándose en el skill frontend-design.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RU9.2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Aplicar el refresco de interfaz por áreas (1/2).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RU9.3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Aplicar el refresco de interfaz por áreas (2/2) + revisión de contenido y copys.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Fase 9.3 — Deuda transversal y testing exhaustivo (propuesta 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RD9.1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Deuda transversal: CORS del WebSocket a APP_URL, AuditLog de Fase 7 atómico (pasar tx — ya preparado con el parámetro opcional), reintento de slug ante colisión, paginación en categorías/home, allowedDevOrigins.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RD9.2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Preparación de producción: geocoder MapTiler, dominio remitente de Resend, Sentry en staging, swap atómico de reindex (si el volumen lo justifica).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RD9.3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exhaustivo: ampliar e2e/Playwright a roles, categorías, localización, búsqueda/mapa, mensajería, patrocinados y barra promocional; cerrar huecos de cobertura. Confirmar que Playwright corre en CI.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Integraciones externas — en el aire (sin fecha)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9C5700"/>
                <w:sz w:val="21"/>
                <w:szCs w:val="21"/>
              </w:rPr>
              <w:t xml:space="preserve">Ajuste sobre el plan original: </w:t>
            </w:r>
            <w:r>
              <w:rPr>
                <w:rFonts w:ascii="Arial" w:cs="Arial" w:eastAsia="Arial" w:hAnsi="Arial"/>
                <w:color w:val="9C5700"/>
                <w:sz w:val="21"/>
                <w:szCs w:val="21"/>
              </w:rPr>
              <w:t xml:space="preserve">desbloqueables en cuanto lleguen las credenciales, en paralelo a cualquier hito en curso — no atadas a una fase fija. Si las credenciales llegan durante el Hito 6, se ejecutan entonces, no se espera al final.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36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Ráfaga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RX.1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Redsys — acreditación E2E: sandbox + túnel público + REDSYS_NOTIFICATION_URL + verificación del ciclo notificación→cola→Wallet/CreditLedger/Transaction. Desbloqueable al obtener credenciales de Redsys.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RX.2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RF.13 — facturación fiscal: InvoicingProcessor, integración con proveedor (Holded/Factusol), VeriFactu, descarga de facturas en /perfil/facturas. Desbloqueable al obtener cuenta del proveedor fiscal.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Arial" w:cs="Arial" w:eastAsia="Arial" w:hAnsi="Arial"/>
        </w:rPr>
        <w:t xml:space="preserve">9. Reparto de la deuda técnica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La deuda catalogada se cierra dentro del hito que toca cada sistema; el resto, en la fase de endurecimiento final (9.3).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Deuda técnica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se cierra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type→itemType y normalización de size en el seed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Hito 5 · Fase 5.2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Geocoding Nominatim→MapTiler (diseño / producción)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Hito 5 · 5.3 y Hito 9 · 9.3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conversation:read en tiempo real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Hito 7 · Fase 7.1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/media + imágenes huérfanas; tag SEO del blog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Hito 7 · Fase 7.2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Renovación Pro (test clock); regla obsoleta de Definicion_MVP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Hito 8 · Fase 8.1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 WebSocket, AuditLog atómico, slug retry, paginación, allowedDevOrigins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Hito 9 · Fase 9.3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Producción: Resend, Sentry staging, swap atómico de reindex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Hito 9 · Fase 9.3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Redsys E2E y RF.13 facturación fiscal (bloqueadas por credenciales)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En el aire (RX.1, RX.2)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</w:rPr>
        <w:t xml:space="preserve">10. Reglas de oro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tarea por ráfaga; alcance pequeño y cerrado.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Sonnet por defecto; Opus solo en las ráfagas de diseño/auditoría que abren cada fase.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Leer estado-tecnico.md y entender el sistema antes de tocarlo; /clear entre ráfagas; revisar cada salida.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romper sistemas dependientes: planificar el cambio antes de implementarlo.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cerrar: explicar lo hecho, testear de verdad (provocar los fallos, no solo verde) y actualizar /docs.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Respetar la frontera: NestJS única fuente de verdad, Next.js presentación + BFF, trabajo pesado a colas BullMQ.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Nota de alcance: este documento es un mapa de dirección. Los Hitos 5 y 6 son plan firme; los Hitos 7, 8 y 9 son un boceto que se re-detallará al llegar a cada uno, mediante su ráfaga de auditoría/diseño de apertura, con la realidad del proyecto en ese momento.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2026-06-28T17:04:32.733Z</dcterms:created>
  <dcterms:modified xsi:type="dcterms:W3CDTF">2026-06-28T17:04:32.733Z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