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600"/>
      </w:pPr>
    </w:p>
    <w:p>
      <w:pPr>
        <w:spacing w:after="80"/>
        <w:jc w:val="center"/>
      </w:pPr>
      <w:r>
        <w:rPr>
          <w:b/>
          <w:bCs/>
          <w:sz w:val="40"/>
          <w:szCs w:val="40"/>
        </w:rPr>
        <w:t>HOJA DE RUTA POR RÁFAGAS — HITO 3</w:t>
      </w:r>
    </w:p>
    <w:p>
      <w:pPr>
        <w:spacing w:after="240"/>
        <w:jc w:val="center"/>
      </w:pPr>
      <w:r>
        <w:rPr>
          <w:b/>
          <w:bCs/>
          <w:color w:val="2E75B6"/>
          <w:sz w:val="28"/>
          <w:szCs w:val="28"/>
        </w:rPr>
        <w:t>Plataforma de compraventa de segunda mano</w:t>
      </w:r>
    </w:p>
    <w:p>
      <w:pPr>
        <w:spacing w:after="320"/>
        <w:jc w:val="center"/>
      </w:pPr>
      <w:r>
        <w:rPr>
          <w:sz w:val="24"/>
          <w:szCs w:val="24"/>
        </w:rPr>
        <w:t>“Consolidación y engagement”</w:t>
      </w:r>
    </w:p>
    <w:p>
      <w:pPr>
        <w:spacing w:after="60"/>
        <w:jc w:val="center"/>
      </w:pPr>
      <w:r>
        <w:rPr>
          <w:b/>
          <w:bCs/>
        </w:rPr>
        <w:t xml:space="preserve">Método:  </w:t>
      </w:r>
      <w:r>
        <w:t>ráfagas acotadas</w:t>
      </w:r>
    </w:p>
    <w:p>
      <w:pPr>
        <w:spacing w:after="60"/>
        <w:jc w:val="center"/>
      </w:pPr>
      <w:r>
        <w:rPr>
          <w:b/>
          <w:bCs/>
        </w:rPr>
        <w:t xml:space="preserve">Alcance:  </w:t>
      </w:r>
      <w:r>
        <w:t>Fases F, V, TR y D  ·  ~13 ráfagas</w:t>
      </w:r>
    </w:p>
    <w:p>
      <w:pPr>
        <w:spacing w:after="60"/>
        <w:jc w:val="center"/>
      </w:pPr>
      <w:r>
        <w:rPr>
          <w:b/>
          <w:bCs/>
        </w:rPr>
        <w:t xml:space="preserve">Continuación de:  </w:t>
      </w:r>
      <w:r>
        <w:t>Hito 2 — plataforma sólida y administrable (Fases T, 7, B y diseño de facturación)</w:t>
      </w:r>
    </w:p>
    <w:p>
      <w:pPr>
        <w:spacing w:before="360"/>
        <w:jc w:val="center"/>
      </w:pPr>
      <w:r>
        <w:rPr>
          <w:i/>
          <w:iCs/>
        </w:rPr>
        <w:t>Documento de planificación de ejecución</w:t>
      </w:r>
    </w:p>
    <w:p>
      <w:r>
        <w:br w:type="page"/>
      </w:r>
    </w:p>
    <w:p>
      <w:pPr>
        <w:pStyle w:val="Ttulo1"/>
      </w:pPr>
      <w:r>
        <w:t>Índice</w:t>
      </w:r>
    </w:p>
    <w:p>
      <w:pPr>
        <w:spacing w:after="60"/>
      </w:pPr>
      <w:r>
        <w:rPr>
          <w:b/>
          <w:bCs/>
        </w:rPr>
        <w:t xml:space="preserve">1.  </w:t>
      </w:r>
      <w:r>
        <w:t>Punto de partida y objetivo del hito</w:t>
      </w:r>
    </w:p>
    <w:p>
      <w:pPr>
        <w:spacing w:after="60"/>
      </w:pPr>
      <w:r>
        <w:rPr>
          <w:b/>
          <w:bCs/>
        </w:rPr>
        <w:t xml:space="preserve">2.  </w:t>
      </w:r>
      <w:r>
        <w:t>Decisiones cerradas</w:t>
      </w:r>
    </w:p>
    <w:p>
      <w:pPr>
        <w:spacing w:after="60"/>
      </w:pPr>
      <w:r>
        <w:rPr>
          <w:b/>
          <w:bCs/>
        </w:rPr>
        <w:t xml:space="preserve">3.  </w:t>
      </w:r>
      <w:r>
        <w:t>Cómo ejecutar cada ráfaga</w:t>
      </w:r>
    </w:p>
    <w:p>
      <w:pPr>
        <w:spacing w:after="60"/>
      </w:pPr>
      <w:r>
        <w:rPr>
          <w:b/>
          <w:bCs/>
        </w:rPr>
        <w:t xml:space="preserve">4.  </w:t>
      </w:r>
      <w:r>
        <w:t>El plan de ráfagas (Fases F, V, TR y D)</w:t>
      </w:r>
    </w:p>
    <w:p>
      <w:pPr>
        <w:spacing w:after="60"/>
      </w:pPr>
      <w:r>
        <w:rPr>
          <w:b/>
          <w:bCs/>
        </w:rPr>
        <w:t xml:space="preserve">5.  </w:t>
      </w:r>
      <w:r>
        <w:t>Adiciones recomendadas (opcionales)</w:t>
      </w:r>
    </w:p>
    <w:p>
      <w:pPr>
        <w:spacing w:after="60"/>
      </w:pPr>
      <w:r>
        <w:rPr>
          <w:b/>
          <w:bCs/>
        </w:rPr>
        <w:t xml:space="preserve">6.  </w:t>
      </w:r>
      <w:r>
        <w:t>Qué queda para el Hito 4 — Monetización</w:t>
      </w:r>
    </w:p>
    <w:p>
      <w:pPr>
        <w:spacing w:after="60"/>
      </w:pPr>
      <w:r>
        <w:rPr>
          <w:b/>
          <w:bCs/>
        </w:rPr>
        <w:t xml:space="preserve">7.  </w:t>
      </w:r>
      <w:r>
        <w:t>Reglas de oro</w:t>
      </w:r>
    </w:p>
    <w:p>
      <w:r>
        <w:br w:type="page"/>
      </w:r>
    </w:p>
    <w:p>
      <w:pPr>
        <w:pStyle w:val="Ttulo1"/>
      </w:pPr>
      <w:r>
        <w:t>1. Punto de partida y objetivo del hito</w:t>
      </w:r>
    </w:p>
    <w:p>
      <w:pPr>
        <w:spacing w:after="120"/>
      </w:pPr>
      <w:r>
        <w:t xml:space="preserve">El Hito 2 completó la red de seguridad (Fase T), el backoffice con moderación y administración (Fase 7), el blog como canal SEO (Fase B) y el diseño cerrado del sistema de facturación (RF.1). El bucle central del producto —publicar, buscar, ver, contactar— está probado de extremo a extremo y con CI activo. Los módulos del Hito 2 se verificaron manualmente; su cobertura automatizada es el punto de partida del Hito 3.</w:t>
      </w:r>
    </w:p>
    <w:p>
      <w:pPr>
        <w:spacing w:after="120"/>
      </w:pPr>
      <w:r>
        <w:t xml:space="preserve">El objetivo del Hito 3 es aumentar el engagement y la confianza entre usuarios, extender la red de seguridad de tests a los módulos del Hito 2 y saldar la deuda técnica acumulada. Dos stubs de la BD ya existen y esperan implementación: favoritos y valoraciones.</w:t>
      </w:r>
    </w:p>
    <w:p>
      <w:pPr>
        <w:pBdr>
          <w:left w:val="single" w:sz="18" w:space="12" w:color="2E75B6"/>
        </w:pBdr>
        <w:spacing w:after="120"/>
      </w:pPr>
      <w:r>
        <w:rPr>
          <w:b/>
          <w:bCs/>
        </w:rPr>
        <w:t xml:space="preserve">Hito 3 — “Consolidación y engagement”: </w:t>
      </w:r>
      <w:r>
        <w:t xml:space="preserve">se alcanza cuando los favoritos son funcionales (backend + frontend + e2e), el diseño de valoraciones está cerrado en papel y con las ráfagas de implementación definidas, los módulos del Hito 2 tienen cobertura e2e automatizada, y la deuda técnica anotada en estado-tecnico.md §3 está resuelta.</w:t>
      </w:r>
    </w:p>
    <w:p>
      <w:pPr>
        <w:spacing w:after="120"/>
      </w:pPr>
      <w:r>
        <w:t xml:space="preserve">La monetización queda deliberadamente fuera de este hito: el diseño ya existe en docs/diseno-facturacion.md (RF.1 cerrado en el Hito 2); su implementación es el núcleo del Hito 4.</w:t>
      </w:r>
    </w:p>
    <w:p>
      <w:pPr>
        <w:pStyle w:val="Ttulo1"/>
      </w:pPr>
      <w:r>
        <w:t>2. Decisiones cerradas</w:t>
      </w:r>
    </w:p>
    <w:p>
      <w:pPr>
        <w:pStyle w:val="Prrafodelista"/>
        <w:numPr>
          <w:ilvl w:val="0"/>
          <w:numId w:val="2"/>
        </w:numPr>
        <w:spacing w:after="60"/>
      </w:pPr>
      <w:r>
        <w:rPr>
          <w:b/>
          <w:bCs/>
        </w:rPr>
        <w:t xml:space="preserve">Favoritos: </w:t>
      </w:r>
      <w:r>
        <w:t xml:space="preserve">CRUD sobre el modelo existente en BD (tabla Favorite ya migrada, stub vacío en backend y frontend). Sin ráfaga de diseño previa —el alcance es lo suficientemente acotado para ejecutarse directamente con Sonnet.</w:t>
      </w:r>
    </w:p>
    <w:p>
      <w:pPr>
        <w:pStyle w:val="Prrafodelista"/>
        <w:numPr>
          <w:ilvl w:val="0"/>
          <w:numId w:val="2"/>
        </w:numPr>
        <w:spacing w:after="60"/>
      </w:pPr>
      <w:r>
        <w:rPr>
          <w:b/>
          <w:bCs/>
        </w:rPr>
        <w:t xml:space="preserve">Valoraciones: </w:t>
      </w:r>
      <w:r>
        <w:t xml:space="preserve">arranca con una ráfaga de diseño (RV.1) porque las reglas de elegibilidad, bidireccionalidad y moderación requieren decisiones de arquitectura antes de tocar código. El desglose de las ráfagas de implementación es el entregable de RV.1.</w:t>
      </w:r>
    </w:p>
    <w:p>
      <w:pPr>
        <w:pStyle w:val="Prrafodelista"/>
        <w:numPr>
          <w:ilvl w:val="0"/>
          <w:numId w:val="2"/>
        </w:numPr>
        <w:spacing w:after="60"/>
      </w:pPr>
      <w:r>
        <w:rPr>
          <w:b/>
          <w:bCs/>
        </w:rPr>
        <w:t xml:space="preserve">Tests retroactivos: </w:t>
      </w:r>
      <w:r>
        <w:t xml:space="preserve">la infraestructura de testing ya está disponible (docs/estrategia-testing.md, helpers, seed, CI). Se extiende la cobertura e2e a los módulos del Hito 2 que solo se verificaron a mano: moderación, admin y blog.</w:t>
      </w:r>
    </w:p>
    <w:p>
      <w:pPr>
        <w:pStyle w:val="Prrafodelista"/>
        <w:numPr>
          <w:ilvl w:val="0"/>
          <w:numId w:val="2"/>
        </w:numPr>
        <w:spacing w:after="60"/>
      </w:pPr>
      <w:r>
        <w:rPr>
          <w:b/>
          <w:bCs/>
        </w:rPr>
        <w:t xml:space="preserve">Deuda técnica: </w:t>
      </w:r>
      <w:r>
        <w:t xml:space="preserve">se aborda en ráfagas cortas e independientes entre sí, intercaladas con el resto del hito, para no acumularla al final.</w:t>
      </w:r>
    </w:p>
    <w:p>
      <w:pPr>
        <w:pStyle w:val="Ttulo1"/>
      </w:pPr>
      <w:r>
        <w:t>3. Cómo ejecutar cada ráfaga</w:t>
      </w:r>
    </w:p>
    <w:p>
      <w:pPr>
        <w:spacing w:after="120"/>
      </w:pPr>
      <w:r>
        <w:t xml:space="preserve">Se mantienen las mismas reglas del MVP y del Hito 2:</w:t>
      </w:r>
    </w:p>
    <w:p>
      <w:pPr>
        <w:pStyle w:val="Prrafodelista"/>
        <w:numPr>
          <w:ilvl w:val="0"/>
          <w:numId w:val="2"/>
        </w:numPr>
        <w:spacing w:after="60"/>
      </w:pPr>
      <w:r>
        <w:rPr>
          <w:b/>
          <w:bCs/>
        </w:rPr>
        <w:t xml:space="preserve">Una tarea por ráfaga: </w:t>
      </w:r>
      <w:r>
        <w:t xml:space="preserve">alcance pequeño y cerrado; nada de varios módulos en la misma sesión.</w:t>
      </w:r>
    </w:p>
    <w:p>
      <w:pPr>
        <w:pStyle w:val="Prrafodelista"/>
        <w:numPr>
          <w:ilvl w:val="0"/>
          <w:numId w:val="2"/>
        </w:numPr>
        <w:spacing w:after="60"/>
      </w:pPr>
      <w:r>
        <w:rPr>
          <w:b/>
          <w:bCs/>
        </w:rPr>
        <w:t xml:space="preserve">Sonnet por defecto, Opus para diseñar: </w:t>
      </w:r>
      <w:r>
        <w:t xml:space="preserve">la única ráfaga de diseño de este hito es RV.1 (diseño de valoraciones); el resto se ejecuta con Sonnet.</w:t>
      </w:r>
    </w:p>
    <w:p>
      <w:pPr>
        <w:pStyle w:val="Prrafodelista"/>
        <w:numPr>
          <w:ilvl w:val="0"/>
          <w:numId w:val="2"/>
        </w:numPr>
        <w:spacing w:after="60"/>
      </w:pPr>
      <w:r>
        <w:rPr>
          <w:b/>
          <w:bCs/>
        </w:rPr>
        <w:t xml:space="preserve">/clear entre ráfagas; </w:t>
      </w:r>
      <w:r>
        <w:t xml:space="preserve">revisa cada salida antes de aceptarla.</w:t>
      </w:r>
    </w:p>
    <w:p>
      <w:pPr>
        <w:pStyle w:val="Prrafodelista"/>
        <w:numPr>
          <w:ilvl w:val="0"/>
          <w:numId w:val="2"/>
        </w:numPr>
        <w:spacing w:after="60"/>
      </w:pPr>
      <w:r>
        <w:rPr>
          <w:b/>
          <w:bCs/>
        </w:rPr>
        <w:t xml:space="preserve">git pull al empezar la sesión, </w:t>
      </w:r>
      <w:r>
        <w:t xml:space="preserve">commit + push al terminar; nunca dejes trabajo sin commitear si vas a seguir en otra máquina.</w:t>
      </w:r>
    </w:p>
    <w:p>
      <w:pPr>
        <w:pStyle w:val="Prrafodelista"/>
        <w:numPr>
          <w:ilvl w:val="0"/>
          <w:numId w:val="2"/>
        </w:numPr>
        <w:spacing w:after="60"/>
      </w:pPr>
      <w:r>
        <w:rPr>
          <w:b/>
          <w:bCs/>
        </w:rPr>
        <w:t xml:space="preserve">Tests e2e en la misma ráfaga: </w:t>
      </w:r>
      <w:r>
        <w:t xml:space="preserve">los tests se escriben junto a la funcionalidad, no en una ráfaga separada posterior.</w:t>
      </w:r>
    </w:p>
    <w:p>
      <w:pPr>
        <w:pStyle w:val="Ttulo1"/>
      </w:pPr>
      <w:r>
        <w:t>4. El plan de ráfagas</w:t>
      </w:r>
    </w:p>
    <w:p>
      <w:pPr>
        <w:spacing w:after="120"/>
      </w:pPr>
      <w:r>
        <w:t xml:space="preserve">El orden sigue la dependencia: primero Favoritos (stub listo, BD ready, sin diseño previo) → Valoraciones (diseño RV.1 primero, implementación TBD) → Tests retroactivos del Hito 2 → Deuda técnica (intercalada donde encaje). Las fases TR y D son independientes entre sí y pueden adelantarse o ejecutarse en paralelo con F y V.</w:t>
      </w:r>
    </w:p>
    <w:p>
      <w:pPr>
        <w:pStyle w:val="Ttulo2"/>
      </w:pPr>
      <w:r>
        <w:t>Fase F — Favoritos</w:t>
      </w:r>
    </w:p>
    <w:p>
      <w:pPr>
        <w:spacing w:after="120"/>
      </w:pPr>
      <w:r>
        <w:rPr>
          <w:b/>
          <w:bCs/>
        </w:rPr>
        <w:t xml:space="preserve">Objetivo. </w:t>
      </w:r>
      <w:r>
        <w:t xml:space="preserve">Implementar el módulo de favoritos sobre el stub existente: backend completo, frontend con botón en ficha de anuncio y página dedicada, y tests e2e escritos en la misma ráfaga. Es la fase de mayor retorno inmediato: el modelo de BD ya existe y no requiere migración nueva.</w:t>
      </w:r>
    </w:p>
    <w:p>
      <w:pPr>
        <w:spacing w:after="120"/>
      </w:pPr>
      <w:r>
        <w:rPr>
          <w:b/>
          <w:bCs/>
        </w:rPr>
        <w:t xml:space="preserve">Requisitos. </w:t>
      </w:r>
      <w:r>
        <w:t xml:space="preserve">El modelo Favorite existe en el schema de Prisma con la migración aplicada. El stub backend (FavoritesModule, FavoritesController, FavoritesService) existe pero con cuerpos vacíos. No hay dependencia de otras fases del Hito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0"/>
        <w:gridCol w:w="1040"/>
        <w:gridCol w:w="5640"/>
        <w:gridCol w:w="1500"/>
      </w:tblGrid>
      <w:tr>
        <w:tblPrEx>
          <w:tblCellMar>
            <w:top w:w="0" w:type="dxa"/>
            <w:bottom w:w="0" w:type="dxa"/>
          </w:tblCellMar>
        </w:tblPrEx>
        <w:trPr>
          <w:tblHeader/>
        </w:trPr>
        <w:tc>
          <w:tcPr>
            <w:tcW w:w="11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pPr>
              <w:jc w:val="center"/>
            </w:pPr>
            <w:r>
              <w:rPr>
                <w:b/>
                <w:bCs/>
              </w:rPr>
              <w:t>Estado</w:t>
            </w:r>
          </w:p>
        </w:tc>
        <w:tc>
          <w:tcPr>
            <w:tcW w:w="10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pPr>
              <w:jc w:val="center"/>
            </w:pPr>
            <w:r>
              <w:rPr>
                <w:b/>
                <w:bCs/>
              </w:rPr>
              <w:t>Ráfaga</w:t>
            </w:r>
          </w:p>
        </w:tc>
        <w:tc>
          <w:tcPr>
            <w:tcW w:w="5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r>
              <w:rPr>
                <w:b/>
                <w:bCs/>
              </w:rPr>
              <w:t>Tarea</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pPr>
              <w:jc w:val="center"/>
            </w:pPr>
            <w:r>
              <w:rPr>
                <w:b/>
                <w:bCs/>
              </w:rPr>
              <w:t>Modelo</w:t>
            </w:r>
          </w:p>
        </w:tc>
      </w:tr>
      <w:tr>
        <w:tblPrEx>
          <w:tblCellMar>
            <w:top w:w="0" w:type="dxa"/>
            <w:bottom w:w="0" w:type="dxa"/>
          </w:tblCellMar>
        </w:tblPrEx>
        <w:tc>
          <w:tcPr>
            <w:tcW w:w="1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w:t>
            </w:r>
          </w:p>
        </w:tc>
        <w:tc>
          <w:tcPr>
            <w:tcW w:w="1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rPr>
                <w:b/>
                <w:bCs/>
              </w:rPr>
              <w:t>RFAV.1</w:t>
            </w:r>
          </w:p>
        </w:tc>
        <w:tc>
          <w:tcPr>
            <w:tcW w:w="5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r>
              <w:t xml:space="preserve">Backend favoritos: POST /listings/:id/favorite (idempotente) y DELETE /listings/:id/favorite; GET /users/me/favorites (paginado, protegido por JWT). Validar que el anuncio existe. La respuesta incluye el campo isFavorited para uso del frontend. Tests Jest backend: marcar, desmarcar, listar paginado, idempotencia en doble marca, 401 para guest.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Sonnet</w:t>
            </w:r>
          </w:p>
        </w:tc>
      </w:tr>
      <w:tr>
        <w:tblPrEx>
          <w:tblCellMar>
            <w:top w:w="0" w:type="dxa"/>
            <w:bottom w:w="0" w:type="dxa"/>
          </w:tblCellMar>
        </w:tblPrEx>
        <w:tc>
          <w:tcPr>
            <w:tcW w:w="1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w:t>
            </w:r>
          </w:p>
        </w:tc>
        <w:tc>
          <w:tcPr>
            <w:tcW w:w="1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rPr>
                <w:b/>
                <w:bCs/>
              </w:rPr>
              <w:t>RFAV.2</w:t>
            </w:r>
          </w:p>
        </w:tc>
        <w:tc>
          <w:tcPr>
            <w:tcW w:w="5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r>
              <w:t xml:space="preserve">Frontend favoritos: botón corazón (toggle) en la ficha de anuncio con optimistic update; página /favoritos con grid de anuncios guardados del usuario autenticado (redirige al login si no autenticado); actualiza el contador al marcar/desmarcar sin recargar la página.</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Sonnet</w:t>
            </w:r>
          </w:p>
        </w:tc>
      </w:tr>
      <w:tr>
        <w:tblPrEx>
          <w:tblCellMar>
            <w:top w:w="0" w:type="dxa"/>
            <w:bottom w:w="0" w:type="dxa"/>
          </w:tblCellMar>
        </w:tblPrEx>
        <w:tc>
          <w:tcPr>
            <w:tcW w:w="1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w:t>
            </w:r>
          </w:p>
        </w:tc>
        <w:tc>
          <w:tcPr>
            <w:tcW w:w="1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rPr>
                <w:b/>
                <w:bCs/>
              </w:rPr>
              <w:t>RFAV.3</w:t>
            </w:r>
          </w:p>
        </w:tc>
        <w:tc>
          <w:tcPr>
            <w:tcW w:w="5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r>
              <w:t xml:space="preserve">Tests e2e Playwright favoritos: login como buyer, marcar favorito en la ficha de un anuncio, verificar que aparece en /favoritos, desmarcar y verificar que desaparece. Cubrir el estado guest: el botón redirige al login.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Sonnet</w:t>
            </w:r>
          </w:p>
        </w:tc>
      </w:tr>
    </w:tbl>
    <w:p>
      <w:pPr>
        <w:pStyle w:val="Ttulo2"/>
      </w:pPr>
      <w:r>
        <w:t>Fase V — Valoraciones (diseño primero)</w:t>
      </w:r>
    </w:p>
    <w:p>
      <w:pPr>
        <w:spacing w:after="120"/>
      </w:pPr>
      <w:r>
        <w:rPr>
          <w:b/>
          <w:bCs/>
        </w:rPr>
        <w:t xml:space="preserve">Objetivo. </w:t>
      </w:r>
      <w:r>
        <w:t xml:space="preserve">Diseñar el sistema de valoraciones resolviendo las decisiones de arquitectura antes de implementar nada. El entregable de RV.1 es el documento docs/diseno-valoraciones.md, que desglosa las ráfagas de implementación. La fase queda marcada como “diseño primero, implementación TBD tras RV.1”.</w:t>
      </w:r>
    </w:p>
    <w:p>
      <w:pPr>
        <w:spacing w:after="120"/>
      </w:pPr>
      <w:r>
        <w:rPr>
          <w:b/>
          <w:bCs/>
        </w:rPr>
        <w:t xml:space="preserve">Requisitos. </w:t>
      </w:r>
      <w:r>
        <w:t xml:space="preserve">El stub Reviews existe pero vacío. El diseño debe resolver, como mínimo: (1) elegibilidad —quién puede valorar a quién y bajo qué condición (¿conversación real?, ¿transacción marcada?), para evitar reseñas falsas; (2) bidireccionalidad comprador↔vendedor; (3) edición y borrado de valoraciones (ventana temporal, quién puede); (4) cálculo y visualización del agregado (media, distribución de estrellas) en el perfil público; (5) moderación de reseñas abusivas, conectada con el sistema de moderación de la Fase 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0"/>
        <w:gridCol w:w="1040"/>
        <w:gridCol w:w="5640"/>
        <w:gridCol w:w="1500"/>
      </w:tblGrid>
      <w:tr>
        <w:tblPrEx>
          <w:tblCellMar>
            <w:top w:w="0" w:type="dxa"/>
            <w:bottom w:w="0" w:type="dxa"/>
          </w:tblCellMar>
        </w:tblPrEx>
        <w:trPr>
          <w:tblHeader/>
        </w:trPr>
        <w:tc>
          <w:tcPr>
            <w:tcW w:w="11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pPr>
              <w:jc w:val="center"/>
            </w:pPr>
            <w:r>
              <w:rPr>
                <w:b/>
                <w:bCs/>
              </w:rPr>
              <w:t>Estado</w:t>
            </w:r>
          </w:p>
        </w:tc>
        <w:tc>
          <w:tcPr>
            <w:tcW w:w="10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pPr>
              <w:jc w:val="center"/>
            </w:pPr>
            <w:r>
              <w:rPr>
                <w:b/>
                <w:bCs/>
              </w:rPr>
              <w:t>Ráfaga</w:t>
            </w:r>
          </w:p>
        </w:tc>
        <w:tc>
          <w:tcPr>
            <w:tcW w:w="5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r>
              <w:rPr>
                <w:b/>
                <w:bCs/>
              </w:rPr>
              <w:t>Tarea</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pPr>
              <w:jc w:val="center"/>
            </w:pPr>
            <w:r>
              <w:rPr>
                <w:b/>
                <w:bCs/>
              </w:rPr>
              <w:t>Modelo</w:t>
            </w:r>
          </w:p>
        </w:tc>
      </w:tr>
      <w:tr>
        <w:tblPrEx>
          <w:tblCellMar>
            <w:top w:w="0" w:type="dxa"/>
            <w:bottom w:w="0" w:type="dxa"/>
          </w:tblCellMar>
        </w:tblPrEx>
        <w:tc>
          <w:tcPr>
            <w:tcW w:w="1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w:t>
            </w:r>
          </w:p>
        </w:tc>
        <w:tc>
          <w:tcPr>
            <w:tcW w:w="1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rPr>
                <w:b/>
                <w:bCs/>
              </w:rPr>
              <w:t>RV.1</w:t>
            </w:r>
          </w:p>
        </w:tc>
        <w:tc>
          <w:tcPr>
            <w:tcW w:w="5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r>
              <w:t xml:space="preserve">Diseñar el módulo de valoraciones: resolver las cinco decisiones de arquitectura listadas en los requisitos de la fase. Entregable: docs/diseno-valoraciones.md con el modelo de datos, reglas de elegibilidad, flujo de vida de una valoración, cálculo del agregado y desglose de ráfagas de implementación. Sin código en esta ráfaga.</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Opus</w:t>
            </w:r>
          </w:p>
        </w:tc>
      </w:tr>
      <w:tr>
        <w:tblPrEx>
          <w:tblCellMar>
            <w:top w:w="0" w:type="dxa"/>
            <w:bottom w:w="0" w:type="dxa"/>
          </w:tblCellMar>
        </w:tblPrEx>
        <w:tc>
          <w:tcPr>
            <w:tcW w:w="1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w:t>
            </w:r>
          </w:p>
        </w:tc>
        <w:tc>
          <w:tcPr>
            <w:tcW w:w="1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rPr>
                <w:b/>
                <w:bCs/>
              </w:rPr>
              <w:t>RV.2–RV.N</w:t>
            </w:r>
          </w:p>
        </w:tc>
        <w:tc>
          <w:tcPr>
            <w:tcW w:w="5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r>
              <w:t xml:space="preserve">Implementación TBD tras RV.1: las ráfagas de implementación (backend, frontend, tests) se definen en docs/diseno-valoraciones.md como entregable de RV.1. El número y alcance de cada ráfaga depende de las decisiones de diseño.</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w:t>
            </w:r>
          </w:p>
        </w:tc>
      </w:tr>
    </w:tbl>
    <w:p>
      <w:pPr>
        <w:pStyle w:val="Ttulo2"/>
      </w:pPr>
      <w:r>
        <w:t>Fase TR — Tests retroactivos (Hito 2)</w:t>
      </w:r>
    </w:p>
    <w:p>
      <w:pPr>
        <w:spacing w:after="120"/>
      </w:pPr>
      <w:r>
        <w:rPr>
          <w:b/>
          <w:bCs/>
        </w:rPr>
        <w:t xml:space="preserve">Objetivo. </w:t>
      </w:r>
      <w:r>
        <w:t xml:space="preserve">Extender la cobertura e2e a los módulos del Hito 2 que solo se verificaron a mano: moderación, admin y blog. La infraestructura de testing (helpers cleanDb/waitForIndex, seed, CI) ya está lista desde la Fase T. Nada nuevo que diseñar; solo tests sobre endpoints y flujos ya existentes.</w:t>
      </w:r>
    </w:p>
    <w:p>
      <w:pPr>
        <w:spacing w:after="120"/>
      </w:pPr>
      <w:r>
        <w:rPr>
          <w:b/>
          <w:bCs/>
        </w:rPr>
        <w:t xml:space="preserve">Requisitos. </w:t>
      </w:r>
      <w:r>
        <w:t xml:space="preserve">Ningún nuevo módulo ni migración. No bloquea ni es bloqueada por las fases F o V; puede ejecutarse en cualquier orden relativo a ellas.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0"/>
        <w:gridCol w:w="1040"/>
        <w:gridCol w:w="5640"/>
        <w:gridCol w:w="1500"/>
      </w:tblGrid>
      <w:tr>
        <w:tblPrEx>
          <w:tblCellMar>
            <w:top w:w="0" w:type="dxa"/>
            <w:bottom w:w="0" w:type="dxa"/>
          </w:tblCellMar>
        </w:tblPrEx>
        <w:trPr>
          <w:tblHeader/>
        </w:trPr>
        <w:tc>
          <w:tcPr>
            <w:tcW w:w="11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pPr>
              <w:jc w:val="center"/>
            </w:pPr>
            <w:r>
              <w:rPr>
                <w:b/>
                <w:bCs/>
              </w:rPr>
              <w:t>Estado</w:t>
            </w:r>
          </w:p>
        </w:tc>
        <w:tc>
          <w:tcPr>
            <w:tcW w:w="10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pPr>
              <w:jc w:val="center"/>
            </w:pPr>
            <w:r>
              <w:rPr>
                <w:b/>
                <w:bCs/>
              </w:rPr>
              <w:t>Ráfaga</w:t>
            </w:r>
          </w:p>
        </w:tc>
        <w:tc>
          <w:tcPr>
            <w:tcW w:w="5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r>
              <w:rPr>
                <w:b/>
                <w:bCs/>
              </w:rPr>
              <w:t>Tarea</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pPr>
              <w:jc w:val="center"/>
            </w:pPr>
            <w:r>
              <w:rPr>
                <w:b/>
                <w:bCs/>
              </w:rPr>
              <w:t>Modelo</w:t>
            </w:r>
          </w:p>
        </w:tc>
      </w:tr>
      <w:tr>
        <w:tblPrEx>
          <w:tblCellMar>
            <w:top w:w="0" w:type="dxa"/>
            <w:bottom w:w="0" w:type="dxa"/>
          </w:tblCellMar>
        </w:tblPrEx>
        <w:tc>
          <w:tcPr>
            <w:tcW w:w="1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w:t>
            </w:r>
          </w:p>
        </w:tc>
        <w:tc>
          <w:tcPr>
            <w:tcW w:w="1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rPr>
                <w:b/>
                <w:bCs/>
              </w:rPr>
              <w:t>RTR.1</w:t>
            </w:r>
          </w:p>
        </w:tc>
        <w:tc>
          <w:tcPr>
            <w:tcW w:w="5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r>
              <w:t xml:space="preserve">Tests e2e moderación: crear reporte (usuario autenticado sobre un anuncio existente), listar cola de reportes (rol MODERATOR), resolver y desestimar reporte (resolvedBy + resolvedAt), retirar y restaurar anuncio desde moderación. Verificar que AuditLog registra cada acción.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Sonnet</w:t>
            </w:r>
          </w:p>
        </w:tc>
      </w:tr>
      <w:tr>
        <w:tblPrEx>
          <w:tblCellMar>
            <w:top w:w="0" w:type="dxa"/>
            <w:bottom w:w="0" w:type="dxa"/>
          </w:tblCellMar>
        </w:tblPrEx>
        <w:tc>
          <w:tcPr>
            <w:tcW w:w="1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w:t>
            </w:r>
          </w:p>
        </w:tc>
        <w:tc>
          <w:tcPr>
            <w:tcW w:w="1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rPr>
                <w:b/>
                <w:bCs/>
              </w:rPr>
              <w:t>RTR.2</w:t>
            </w:r>
          </w:p>
        </w:tc>
        <w:tc>
          <w:tcPr>
            <w:tcW w:w="5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r>
              <w:t xml:space="preserve">Tests e2e admin: endpoint GET /admin/stats (7 métricas + fallback Meilisearch null); gestión de listings (listar, PATCH status); gestión de usuarios (suspend/ban/reinstate, cambio de rol con protección anti-degradación de ADMIN); categorías (crear, editar, reorder, borrar, attributeSchema); settings (GET + PATCH con whitelist y rechazo de clave arbitraria).</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Sonnet</w:t>
            </w:r>
          </w:p>
        </w:tc>
      </w:tr>
      <w:tr>
        <w:tblPrEx>
          <w:tblCellMar>
            <w:top w:w="0" w:type="dxa"/>
            <w:bottom w:w="0" w:type="dxa"/>
          </w:tblCellMar>
        </w:tblPrEx>
        <w:tc>
          <w:tcPr>
            <w:tcW w:w="1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w:t>
            </w:r>
          </w:p>
        </w:tc>
        <w:tc>
          <w:tcPr>
            <w:tcW w:w="1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rPr>
                <w:b/>
                <w:bCs/>
              </w:rPr>
              <w:t>RTR.3</w:t>
            </w:r>
          </w:p>
        </w:tc>
        <w:tc>
          <w:tcPr>
            <w:tcW w:w="5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r>
              <w:t xml:space="preserve">Tests e2e blog: endpoints públicos (GET /blog paginado, GET /blog/:slug, 404 si DRAFT o no existe); admin CRUD (crear, editar, publicar, despublicar, eliminar, revalidación ISR fire-and-forget). Playwright: leer un post publicado, verificar JSON-LD BlogPosting en el DOM, verificar que un post DRAFT devuelve 404.</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Sonnet</w:t>
            </w:r>
          </w:p>
        </w:tc>
      </w:tr>
    </w:tbl>
    <w:p>
      <w:pPr>
        <w:pStyle w:val="Ttulo2"/>
      </w:pPr>
      <w:r>
        <w:t>Fase D — Deuda técnica</w:t>
      </w:r>
    </w:p>
    <w:p>
      <w:pPr>
        <w:spacing w:after="120"/>
      </w:pPr>
      <w:r>
        <w:rPr>
          <w:b/>
          <w:bCs/>
        </w:rPr>
        <w:t xml:space="preserve">Objetivo. </w:t>
      </w:r>
      <w:r>
        <w:t xml:space="preserve">Saldar los cabos pendientes anotados en estado-tecnico.md §3 que no encajan en ninguna otra fase. Ráfagas cortas e independientes entre sí, intercalables en cualquier punto del hito según disponibilidad.</w:t>
      </w:r>
    </w:p>
    <w:p>
      <w:pPr>
        <w:spacing w:after="120"/>
      </w:pPr>
      <w:r>
        <w:rPr>
          <w:b/>
          <w:bCs/>
        </w:rPr>
        <w:t xml:space="preserve">Requisitos. </w:t>
      </w:r>
      <w:r>
        <w:t xml:space="preserve">Sin dependencias entre las ráfagas de esta fase. Pueden ejecutarse antes, después o intercaladas con las fases F, V y TR.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0"/>
        <w:gridCol w:w="1040"/>
        <w:gridCol w:w="5640"/>
        <w:gridCol w:w="1500"/>
      </w:tblGrid>
      <w:tr>
        <w:tblPrEx>
          <w:tblCellMar>
            <w:top w:w="0" w:type="dxa"/>
            <w:bottom w:w="0" w:type="dxa"/>
          </w:tblCellMar>
        </w:tblPrEx>
        <w:trPr>
          <w:tblHeader/>
        </w:trPr>
        <w:tc>
          <w:tcPr>
            <w:tcW w:w="11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pPr>
              <w:jc w:val="center"/>
            </w:pPr>
            <w:r>
              <w:rPr>
                <w:b/>
                <w:bCs/>
              </w:rPr>
              <w:t>Estado</w:t>
            </w:r>
          </w:p>
        </w:tc>
        <w:tc>
          <w:tcPr>
            <w:tcW w:w="10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pPr>
              <w:jc w:val="center"/>
            </w:pPr>
            <w:r>
              <w:rPr>
                <w:b/>
                <w:bCs/>
              </w:rPr>
              <w:t>Ráfaga</w:t>
            </w:r>
          </w:p>
        </w:tc>
        <w:tc>
          <w:tcPr>
            <w:tcW w:w="56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r>
              <w:rPr>
                <w:b/>
                <w:bCs/>
              </w:rPr>
              <w:t>Tarea</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pPr>
              <w:jc w:val="center"/>
            </w:pPr>
            <w:r>
              <w:rPr>
                <w:b/>
                <w:bCs/>
              </w:rPr>
              <w:t>Modelo</w:t>
            </w:r>
          </w:p>
        </w:tc>
      </w:tr>
      <w:tr>
        <w:tblPrEx>
          <w:tblCellMar>
            <w:top w:w="0" w:type="dxa"/>
            <w:bottom w:w="0" w:type="dxa"/>
          </w:tblCellMar>
        </w:tblPrEx>
        <w:tc>
          <w:tcPr>
            <w:tcW w:w="1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w:t>
            </w:r>
          </w:p>
        </w:tc>
        <w:tc>
          <w:tcPr>
            <w:tcW w:w="1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rPr>
                <w:b/>
                <w:bCs/>
              </w:rPr>
              <w:t>RD.1</w:t>
            </w:r>
          </w:p>
        </w:tc>
        <w:tc>
          <w:tcPr>
            <w:tcW w:w="5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r>
              <w:t xml:space="preserve">Sentry cliente (navegador): añadir NEXT_PUBLIC_SENTRY_DSN a apps/web/.env.example; crear sentry.client.config.ts con Sentry.init() para el runtime del navegador (hidratación, clics, fetch fallidos en componentes React cliente). Verificar que errores de cliente aparecen en el panel de Sentry separados de los errores de servidor.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Sonnet</w:t>
            </w:r>
          </w:p>
        </w:tc>
      </w:tr>
      <w:tr>
        <w:tblPrEx>
          <w:tblCellMar>
            <w:top w:w="0" w:type="dxa"/>
            <w:bottom w:w="0" w:type="dxa"/>
          </w:tblCellMar>
        </w:tblPrEx>
        <w:tc>
          <w:tcPr>
            <w:tcW w:w="1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w:t>
            </w:r>
          </w:p>
        </w:tc>
        <w:tc>
          <w:tcPr>
            <w:tcW w:w="1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rPr>
                <w:b/>
                <w:bCs/>
              </w:rPr>
              <w:t>RD.2</w:t>
            </w:r>
          </w:p>
        </w:tc>
        <w:tc>
          <w:tcPr>
            <w:tcW w:w="5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r>
              <w:t xml:space="preserve">Fix CI + test flaky: actualizar pnpm/action-setup al último major sin warning de deprecación; corregir el test inestable de listings (sustituir waitForRemoval por waitFor con timeout explícito o polling hasta que el documento desaparezca del índice de Meilisearch). Verificar que el job e2e en CI pasa limpio sin warnings.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Sonnet</w:t>
            </w:r>
          </w:p>
        </w:tc>
      </w:tr>
      <w:tr>
        <w:tblPrEx>
          <w:tblCellMar>
            <w:top w:w="0" w:type="dxa"/>
            <w:bottom w:w="0" w:type="dxa"/>
          </w:tblCellMar>
        </w:tblPrEx>
        <w:tc>
          <w:tcPr>
            <w:tcW w:w="11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 (con desviacion)</w:t>
            </w:r>
          </w:p>
        </w:tc>
        <w:tc>
          <w:tcPr>
            <w:tcW w:w="10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rPr>
                <w:b/>
                <w:bCs/>
              </w:rPr>
              <w:t>RD.3</w:t>
            </w:r>
          </w:p>
        </w:tc>
        <w:tc>
          <w:tcPr>
            <w:tcW w:w="5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r>
              <w:t xml:space="preserve">Deduplicar isSafeSrc: extraer src/lib/safe-src.ts que derive los dominios permitidos leyendo los remotePatterns de next.config.ts; sustituir la lógica inline duplicada en app/(public)/blog/page.tsx y app/(public)/blog/[slug]/page.tsx por el helper compartido. Eliminar el comentario “debe mantenerse en sync con next.config.ts”.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pPr>
              <w:jc w:val="center"/>
            </w:pPr>
            <w:r>
              <w:t>Sonnet</w:t>
            </w:r>
          </w:p>
        </w:tc>
      </w:tr>
    </w:tbl>
    <w:p>
      <w:pPr>
        <w:pStyle w:val="Ttulo1"/>
      </w:pPr>
      <w:r>
        <w:t>5. Adiciones recomendadas (opcionales)</w:t>
      </w:r>
    </w:p>
    <w:p>
      <w:pPr>
        <w:spacing w:after="120"/>
      </w:pPr>
      <w:r>
        <w:t xml:space="preserve">No forman parte del núcleo del hito, pero encajan en el objetivo de engagement y conviene tenerlas en el radar:</w:t>
      </w:r>
    </w:p>
    <w:p>
      <w:pPr>
        <w:pStyle w:val="Prrafodelista"/>
        <w:numPr>
          <w:ilvl w:val="0"/>
          <w:numId w:val="2"/>
        </w:numPr>
        <w:spacing w:after="60"/>
      </w:pPr>
      <w:r>
        <w:rPr>
          <w:b/>
          <w:bCs/>
        </w:rPr>
        <w:t xml:space="preserve">Búsquedas guardadas con alerta por email: </w:t>
      </w:r>
      <w:r>
        <w:t xml:space="preserve">reutiliza búsqueda + colas BullMQ + NotificationProcessor. Retención de usuarios sin coste de infraestructura adicional. Puede ejecutarse tras Favoritos como extensión natural.</w:t>
      </w:r>
    </w:p>
    <w:p>
      <w:pPr>
        <w:pStyle w:val="Prrafodelista"/>
        <w:numPr>
          <w:ilvl w:val="0"/>
          <w:numId w:val="2"/>
        </w:numPr>
        <w:spacing w:after="60"/>
      </w:pPr>
      <w:r>
        <w:rPr>
          <w:b/>
          <w:bCs/>
        </w:rPr>
        <w:t xml:space="preserve">conversation:markRead vía WebSocket: </w:t>
      </w:r>
      <w:r>
        <w:t xml:space="preserve">completar el flujo de lectura en tiempo real; el contador de no leídos de la bandeja baja sin recargar. Deuda anotada en estado-tecnico.md §3.</w:t>
      </w:r>
    </w:p>
    <w:p>
      <w:pPr>
        <w:pStyle w:val="Prrafodelista"/>
        <w:numPr>
          <w:ilvl w:val="0"/>
          <w:numId w:val="2"/>
        </w:numPr>
        <w:spacing w:after="60"/>
      </w:pPr>
      <w:r>
        <w:rPr>
          <w:b/>
          <w:bCs/>
        </w:rPr>
        <w:t xml:space="preserve">Rate-limiting sobre auth, mensajería y reportes: </w:t>
      </w:r>
      <w:r>
        <w:t xml:space="preserve">usando Redis (ya disponible), con las librerías @nestjs/throttler. Robustez frente a abuso con bajo coste de implementación.</w:t>
      </w:r>
    </w:p>
    <w:p>
      <w:pPr>
        <w:pStyle w:val="Prrafodelista"/>
        <w:numPr>
          <w:ilvl w:val="0"/>
          <w:numId w:val="2"/>
        </w:numPr>
        <w:spacing w:after="60"/>
      </w:pPr>
      <w:r>
        <w:rPr>
          <w:b/>
          <w:bCs/>
        </w:rPr>
        <w:t xml:space="preserve">RGPD — borrado y exportación de cuenta: </w:t>
      </w:r>
      <w:r>
        <w:t xml:space="preserve">los onDelete: Cascade del schema facilitan el borrado completo. Correcto para una plataforma europea; encaja en cualquier ráfaga corta de admin.</w:t>
      </w:r>
    </w:p>
    <w:p>
      <w:pPr>
        <w:pStyle w:val="Ttulo1"/>
      </w:pPr>
      <w:r>
        <w:t>6. Qué queda para el Hito 4 — Monetización</w:t>
      </w:r>
    </w:p>
    <w:p>
      <w:pPr>
        <w:spacing w:after="120"/>
      </w:pPr>
      <w:r>
        <w:t xml:space="preserve">El diseño del motor de cobro ya está cerrado en docs/diseno-facturacion.md (ráfaga RF.1 del Hito 2). El Hito 4 lo implementa cuando el producto tenga tracción:</w:t>
      </w:r>
    </w:p>
    <w:p>
      <w:pPr>
        <w:pStyle w:val="Prrafodelista"/>
        <w:numPr>
          <w:ilvl w:val="0"/>
          <w:numId w:val="2"/>
        </w:numPr>
        <w:spacing w:after="60"/>
      </w:pPr>
      <w:r>
        <w:rPr>
          <w:b/>
          <w:bCs/>
        </w:rPr>
        <w:t xml:space="preserve">Motor de cobro con Stripe, </w:t>
      </w:r>
      <w:r>
        <w:t xml:space="preserve">en modo test: productos, sesiones de checkout, webhooks → entitlements, idempotencia por GatewayEvent, cola BullMQ.</w:t>
      </w:r>
    </w:p>
    <w:p>
      <w:pPr>
        <w:pStyle w:val="Prrafodelista"/>
        <w:numPr>
          <w:ilvl w:val="0"/>
          <w:numId w:val="2"/>
        </w:numPr>
        <w:spacing w:after="60"/>
      </w:pPr>
      <w:r>
        <w:rPr>
          <w:b/>
          <w:bCs/>
        </w:rPr>
        <w:t xml:space="preserve">Destacados: </w:t>
      </w:r>
      <w:r>
        <w:t xml:space="preserve">aplicar el entitlement boostScore binario en Meilisearch y la UI de “destacar tu anuncio” en la ficha y en mis-anuncios.</w:t>
      </w:r>
    </w:p>
    <w:p>
      <w:pPr>
        <w:pStyle w:val="Prrafodelista"/>
        <w:numPr>
          <w:ilvl w:val="0"/>
          <w:numId w:val="2"/>
        </w:numPr>
        <w:spacing w:after="60"/>
      </w:pPr>
      <w:r>
        <w:rPr>
          <w:b/>
          <w:bCs/>
        </w:rPr>
        <w:t xml:space="preserve">Plan Pro: </w:t>
      </w:r>
      <w:r>
        <w:t xml:space="preserve">suscripción (alta/baja/renovación con gracia de 7 días) y sus beneficios (visibilidad, slots extra, distintivo).</w:t>
      </w:r>
    </w:p>
    <w:p>
      <w:pPr>
        <w:pStyle w:val="Prrafodelista"/>
        <w:numPr>
          <w:ilvl w:val="0"/>
          <w:numId w:val="2"/>
        </w:numPr>
        <w:spacing w:after="60"/>
      </w:pPr>
      <w:r>
        <w:rPr>
          <w:b/>
          <w:bCs/>
        </w:rPr>
        <w:t xml:space="preserve">Facturación fiscal: </w:t>
      </w:r>
      <w:r>
        <w:t xml:space="preserve">nota fiscal española con IVA (VeriFactu), generación y descarga desde el perfil.</w:t>
      </w:r>
    </w:p>
    <w:p>
      <w:pPr>
        <w:pStyle w:val="Prrafodelista"/>
        <w:numPr>
          <w:ilvl w:val="0"/>
          <w:numId w:val="2"/>
        </w:numPr>
        <w:spacing w:after="60"/>
      </w:pPr>
      <w:r>
        <w:rPr>
          <w:b/>
          <w:bCs/>
        </w:rPr>
        <w:t xml:space="preserve">Backoffice de cobro: </w:t>
      </w:r>
      <w:r>
        <w:t xml:space="preserve">pagos, suscripciones activas, reembolsos y métricas de ingresos (estadísticas del Plan Pro).</w:t>
      </w:r>
    </w:p>
    <w:p>
      <w:pPr>
        <w:pStyle w:val="Prrafodelista"/>
        <w:numPr>
          <w:ilvl w:val="0"/>
          <w:numId w:val="2"/>
        </w:numPr>
        <w:spacing w:after="60"/>
      </w:pPr>
      <w:r>
        <w:rPr>
          <w:b/>
          <w:bCs/>
        </w:rPr>
        <w:t xml:space="preserve">Analítica de producto: </w:t>
      </w:r>
      <w:r>
        <w:t xml:space="preserve">métricas de conversión, embudo publicar→contactar, retención y cohortes.</w:t>
      </w:r>
    </w:p>
    <w:p>
      <w:pPr>
        <w:spacing w:after="120"/>
      </w:pPr>
      <w:r>
        <w:t xml:space="preserve">La hoja de ruta detallada del Hito 4 parte directamente de docs/diseno-facturacion.md; no requiere una nueva ráfaga de diseño.</w:t>
      </w:r>
    </w:p>
    <w:p>
      <w:pPr>
        <w:pStyle w:val="Ttulo1"/>
      </w:pPr>
      <w:r>
        <w:t>7. Reglas de oro</w:t>
      </w:r>
    </w:p>
    <w:p>
      <w:pPr>
        <w:pStyle w:val="Prrafodelista"/>
        <w:numPr>
          <w:ilvl w:val="0"/>
          <w:numId w:val="2"/>
        </w:numPr>
        <w:spacing w:after="60"/>
      </w:pPr>
      <w:r>
        <w:rPr>
          <w:b/>
          <w:bCs/>
        </w:rPr>
        <w:t xml:space="preserve">Una tarea por ráfaga; </w:t>
      </w:r>
      <w:r>
        <w:t xml:space="preserve">alcance pequeño y cerrado.</w:t>
      </w:r>
    </w:p>
    <w:p>
      <w:pPr>
        <w:pStyle w:val="Prrafodelista"/>
        <w:numPr>
          <w:ilvl w:val="0"/>
          <w:numId w:val="2"/>
        </w:numPr>
        <w:spacing w:after="60"/>
      </w:pPr>
      <w:r>
        <w:rPr>
          <w:b/>
          <w:bCs/>
        </w:rPr>
        <w:t xml:space="preserve">Sonnet por defecto; </w:t>
      </w:r>
      <w:r>
        <w:t xml:space="preserve">Opus solo para la ráfaga de diseño RV.1.</w:t>
      </w:r>
    </w:p>
    <w:p>
      <w:pPr>
        <w:pStyle w:val="Prrafodelista"/>
        <w:numPr>
          <w:ilvl w:val="0"/>
          <w:numId w:val="2"/>
        </w:numPr>
        <w:spacing w:after="60"/>
      </w:pPr>
      <w:r>
        <w:rPr>
          <w:b/>
          <w:bCs/>
        </w:rPr>
        <w:t xml:space="preserve">Tests e2e en la misma ráfaga: </w:t>
      </w:r>
      <w:r>
        <w:t xml:space="preserve">se escriben junto a la funcionalidad; la ráfaga no se cierra sin tests.</w:t>
      </w:r>
    </w:p>
    <w:p>
      <w:pPr>
        <w:pStyle w:val="Prrafodelista"/>
        <w:numPr>
          <w:ilvl w:val="0"/>
          <w:numId w:val="2"/>
        </w:numPr>
        <w:spacing w:after="60"/>
      </w:pPr>
      <w:r>
        <w:rPr>
          <w:b/>
          <w:bCs/>
        </w:rPr>
        <w:t xml:space="preserve">/clear entre ráfagas; </w:t>
      </w:r>
      <w:r>
        <w:t xml:space="preserve">revisa cada salida antes de aceptarla.</w:t>
      </w:r>
    </w:p>
    <w:p>
      <w:pPr>
        <w:pStyle w:val="Prrafodelista"/>
        <w:numPr>
          <w:ilvl w:val="0"/>
          <w:numId w:val="2"/>
        </w:numPr>
        <w:spacing w:after="60"/>
      </w:pPr>
      <w:r>
        <w:rPr>
          <w:b/>
          <w:bCs/>
        </w:rPr>
        <w:t xml:space="preserve">git pull al empezar la sesión, </w:t>
      </w:r>
      <w:r>
        <w:t xml:space="preserve">commit + push al terminar; nunca dejes trabajo sin commitear si vas a seguir en otra máquina.</w:t>
      </w:r>
    </w:p>
    <w:p>
      <w:pPr>
        <w:pStyle w:val="Prrafodelista"/>
        <w:numPr>
          <w:ilvl w:val="0"/>
          <w:numId w:val="2"/>
        </w:numPr>
        <w:spacing w:after="60"/>
      </w:pPr>
      <w:r>
        <w:rPr>
          <w:b/>
          <w:bCs/>
        </w:rPr>
        <w:t xml:space="preserve">Respeta la frontera de arquitectura: </w:t>
      </w:r>
      <w:r>
        <w:t xml:space="preserve">NestJS es la única fuente de verdad de la lógica de negocio, Next.js solo presentación + BFF, y el trabajo pesado va a colas BullMQ.</w:t>
      </w:r>
    </w:p>
    <w:p>
      <w:r>
        <w:t xml:space="preserve"/>
      </w:r>
    </w:p>
    <w:p>
      <w:r>
        <w:rPr>
          <w:b/>
        </w:rPr>
        <w:t xml:space="preserve">NOTA DE ESTADO - auditoria de documentacion, 2026-08-04</w:t>
      </w:r>
    </w:p>
    <w:p>
      <w:r>
        <w:t xml:space="preserve">Leyenda: ✅ = hecho y verificado contra el codigo.</w:t>
      </w:r>
    </w:p>
    <w:p>
      <w:r>
        <w:t xml:space="preserve">HITO 3 COMPLETO: las 11 rafagas estan hechas. Verificacion: RFAV.1-RFAV.3 -&gt; modulo apps/api/src/modules/favorites y la pagina /favoritos; RV.1 -&gt; docs/diseno-valoraciones.md; RV.2-RV.N -&gt; modulo /reviews con suite reviews.e2e-spec.ts (24 tests); RTR.1-RTR.3 -&gt; apps/api/test/moderation.e2e-spec.ts, admin.e2e-spec.ts y blog.e2e-spec.ts; RD.1 -&gt; apps/web/instrumentation-client.ts; RD.2 -&gt; pnpm/action-setup@v6 en ci.yml y el flaky de indexacion cerrado en su causa raiz (waitForTask).</w:t>
      </w:r>
    </w:p>
    <w:p>
      <w:r>
        <w:t xml:space="preserve">RD.3 - HECHO CON DESVIACION: la deduplicacion de isSafeSrc se hizo, pero el helper compartido es apps/web/src/lib/image-domains.ts (exporta remotePatterns e isSafeSrc, con 6 consumidores), NO el apps/web/src/lib/safe-src.ts que pedia esta rafaga. El objetivo se cumplio; el nombre del fichero difiere.</w:t>
      </w:r>
    </w:p>
    <w:p>
      <w:r>
        <w:t xml:space="preserve">AVISO: la elegibilidad de valoraciones cambio despues de RV.1 - ya no mira Conversation sino Deal (Reputacion rafaga 3). docs/diseno-valoraciones.md quedo desfasado y se reescribe aparte.</w:t>
      </w:r>
    </w:p>
    <w:p>
      <w:r>
        <w:t xml:space="preserve">ARREGLO DE FORMATO aplicado en esta auditoria: este documento tenia todas las tildes, las enes y las casillas guardadas como entidades numericas doblemente escapadas, por lo que Word las mostraba en crudo (por ejemplo "&amp;#205;ndice" en vez de "Indice"). Se han decodificado a caracteres reales; el texto no se ha cambiado.</w:t>
      </w:r>
    </w:p>
    <w:p>
      <w:r>
        <w:t xml:space="preserve">Estado real implementado: docs/estado-tecnico.md. Plan vigente: docs/Hoja_de_ruta_rafagas_Hito5-9.docx.</w:t>
      </w:r>
    </w:p>
    <w:sectPr>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997B3" w14:textId="77777777" w:rsidR="00E34FAB" w:rsidRDefault="00E34FAB">
      <w:r>
        <w:separator/>
      </w:r>
    </w:p>
  </w:endnote>
  <w:endnote w:type="continuationSeparator" w:id="0">
    <w:p w14:paraId="2A783C56" w14:textId="77777777" w:rsidR="00E34FAB" w:rsidRDefault="00E34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59E87" w14:textId="2880E967" w:rsidR="00720881" w:rsidRDefault="00000000">
    <w:pPr>
      <w:pBdr>
        <w:top w:val="single" w:sz="4" w:space="6" w:color="CCCCCC"/>
      </w:pBdr>
      <w:tabs>
        <w:tab w:val="right" w:pos="9026"/>
      </w:tabs>
    </w:pPr>
    <w:r>
      <w:rPr>
        <w:color w:val="888888"/>
        <w:sz w:val="16"/>
        <w:szCs w:val="16"/>
      </w:rPr>
      <w:t>Hito 2 · Plataforma sólida y administrable · ráfagas de 5 h</w:t>
    </w:r>
    <w:r>
      <w:rPr>
        <w:sz w:val="16"/>
        <w:szCs w:val="16"/>
      </w:rPr>
      <w:tab/>
    </w:r>
    <w:r>
      <w:rPr>
        <w:color w:val="888888"/>
        <w:sz w:val="16"/>
        <w:szCs w:val="16"/>
      </w:rPr>
      <w:t xml:space="preserve">Pág. </w:t>
    </w:r>
    <w:r>
      <w:rPr>
        <w:color w:val="888888"/>
        <w:sz w:val="16"/>
        <w:szCs w:val="16"/>
      </w:rPr>
      <w:fldChar w:fldCharType="begin"/>
    </w:r>
    <w:r>
      <w:rPr>
        <w:color w:val="888888"/>
        <w:sz w:val="16"/>
        <w:szCs w:val="16"/>
      </w:rPr>
      <w:instrText>PAGE</w:instrText>
    </w:r>
    <w:r>
      <w:rPr>
        <w:color w:val="888888"/>
        <w:sz w:val="16"/>
        <w:szCs w:val="16"/>
      </w:rPr>
      <w:fldChar w:fldCharType="separate"/>
    </w:r>
    <w:r w:rsidR="00323DFC">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A8631" w14:textId="77777777" w:rsidR="00E34FAB" w:rsidRDefault="00E34FAB">
      <w:r>
        <w:separator/>
      </w:r>
    </w:p>
  </w:footnote>
  <w:footnote w:type="continuationSeparator" w:id="0">
    <w:p w14:paraId="47195269" w14:textId="77777777" w:rsidR="00E34FAB" w:rsidRDefault="00E34F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3471A"/>
    <w:multiLevelType w:val="hybridMultilevel"/>
    <w:tmpl w:val="F1641392"/>
    <w:lvl w:ilvl="0" w:tplc="3F9826FC">
      <w:start w:val="1"/>
      <w:numFmt w:val="bullet"/>
      <w:lvlText w:val="●"/>
      <w:lvlJc w:val="left"/>
      <w:pPr>
        <w:ind w:left="720" w:hanging="360"/>
      </w:pPr>
    </w:lvl>
    <w:lvl w:ilvl="1" w:tplc="0B807D36">
      <w:start w:val="1"/>
      <w:numFmt w:val="bullet"/>
      <w:lvlText w:val="○"/>
      <w:lvlJc w:val="left"/>
      <w:pPr>
        <w:ind w:left="1440" w:hanging="360"/>
      </w:pPr>
    </w:lvl>
    <w:lvl w:ilvl="2" w:tplc="F196920C">
      <w:start w:val="1"/>
      <w:numFmt w:val="bullet"/>
      <w:lvlText w:val="■"/>
      <w:lvlJc w:val="left"/>
      <w:pPr>
        <w:ind w:left="2160" w:hanging="360"/>
      </w:pPr>
    </w:lvl>
    <w:lvl w:ilvl="3" w:tplc="5FF2516E">
      <w:start w:val="1"/>
      <w:numFmt w:val="bullet"/>
      <w:lvlText w:val="●"/>
      <w:lvlJc w:val="left"/>
      <w:pPr>
        <w:ind w:left="2880" w:hanging="360"/>
      </w:pPr>
    </w:lvl>
    <w:lvl w:ilvl="4" w:tplc="7D42E228">
      <w:start w:val="1"/>
      <w:numFmt w:val="bullet"/>
      <w:lvlText w:val="○"/>
      <w:lvlJc w:val="left"/>
      <w:pPr>
        <w:ind w:left="3600" w:hanging="360"/>
      </w:pPr>
    </w:lvl>
    <w:lvl w:ilvl="5" w:tplc="B9E8B2B0">
      <w:start w:val="1"/>
      <w:numFmt w:val="bullet"/>
      <w:lvlText w:val="■"/>
      <w:lvlJc w:val="left"/>
      <w:pPr>
        <w:ind w:left="4320" w:hanging="360"/>
      </w:pPr>
    </w:lvl>
    <w:lvl w:ilvl="6" w:tplc="8E1A28B8">
      <w:start w:val="1"/>
      <w:numFmt w:val="bullet"/>
      <w:lvlText w:val="●"/>
      <w:lvlJc w:val="left"/>
      <w:pPr>
        <w:ind w:left="5040" w:hanging="360"/>
      </w:pPr>
    </w:lvl>
    <w:lvl w:ilvl="7" w:tplc="96E42854">
      <w:start w:val="1"/>
      <w:numFmt w:val="bullet"/>
      <w:lvlText w:val="●"/>
      <w:lvlJc w:val="left"/>
      <w:pPr>
        <w:ind w:left="5760" w:hanging="360"/>
      </w:pPr>
    </w:lvl>
    <w:lvl w:ilvl="8" w:tplc="A1606EF8">
      <w:start w:val="1"/>
      <w:numFmt w:val="bullet"/>
      <w:lvlText w:val="●"/>
      <w:lvlJc w:val="left"/>
      <w:pPr>
        <w:ind w:left="6480" w:hanging="360"/>
      </w:pPr>
    </w:lvl>
  </w:abstractNum>
  <w:abstractNum w:abstractNumId="1" w15:restartNumberingAfterBreak="0">
    <w:nsid w:val="16224D56"/>
    <w:multiLevelType w:val="hybridMultilevel"/>
    <w:tmpl w:val="4B3A6E00"/>
    <w:lvl w:ilvl="0" w:tplc="6722181E">
      <w:start w:val="1"/>
      <w:numFmt w:val="bullet"/>
      <w:lvlText w:val="•"/>
      <w:lvlJc w:val="left"/>
      <w:pPr>
        <w:ind w:left="460" w:hanging="260"/>
      </w:pPr>
    </w:lvl>
    <w:lvl w:ilvl="1" w:tplc="7F3C959A">
      <w:numFmt w:val="decimal"/>
      <w:lvlText w:val=""/>
      <w:lvlJc w:val="left"/>
    </w:lvl>
    <w:lvl w:ilvl="2" w:tplc="AC920A14">
      <w:numFmt w:val="decimal"/>
      <w:lvlText w:val=""/>
      <w:lvlJc w:val="left"/>
    </w:lvl>
    <w:lvl w:ilvl="3" w:tplc="1B9C8E0C">
      <w:numFmt w:val="decimal"/>
      <w:lvlText w:val=""/>
      <w:lvlJc w:val="left"/>
    </w:lvl>
    <w:lvl w:ilvl="4" w:tplc="D2F82066">
      <w:numFmt w:val="decimal"/>
      <w:lvlText w:val=""/>
      <w:lvlJc w:val="left"/>
    </w:lvl>
    <w:lvl w:ilvl="5" w:tplc="39FE576E">
      <w:numFmt w:val="decimal"/>
      <w:lvlText w:val=""/>
      <w:lvlJc w:val="left"/>
    </w:lvl>
    <w:lvl w:ilvl="6" w:tplc="900A4EDE">
      <w:numFmt w:val="decimal"/>
      <w:lvlText w:val=""/>
      <w:lvlJc w:val="left"/>
    </w:lvl>
    <w:lvl w:ilvl="7" w:tplc="14A0C44C">
      <w:numFmt w:val="decimal"/>
      <w:lvlText w:val=""/>
      <w:lvlJc w:val="left"/>
    </w:lvl>
    <w:lvl w:ilvl="8" w:tplc="199AA65C">
      <w:numFmt w:val="decimal"/>
      <w:lvlText w:val=""/>
      <w:lvlJc w:val="left"/>
    </w:lvl>
  </w:abstractNum>
  <w:num w:numId="1" w16cid:durableId="885800132">
    <w:abstractNumId w:val="0"/>
    <w:lvlOverride w:ilvl="0">
      <w:startOverride w:val="1"/>
    </w:lvlOverride>
  </w:num>
  <w:num w:numId="2" w16cid:durableId="15969412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881"/>
    <w:rsid w:val="00323DFC"/>
    <w:rsid w:val="00720881"/>
    <w:rsid w:val="00B310AF"/>
    <w:rsid w:val="00E34FA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59DD0"/>
  <w15:docId w15:val="{7FA22206-EF11-43F7-8893-9DD3A2736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2E75B6"/>
      </w:pBdr>
      <w:spacing w:before="280" w:after="160"/>
      <w:outlineLvl w:val="0"/>
    </w:pPr>
    <w:rPr>
      <w:b/>
      <w:bCs/>
      <w:color w:val="2E75B6"/>
      <w:sz w:val="30"/>
      <w:szCs w:val="30"/>
    </w:rPr>
  </w:style>
  <w:style w:type="paragraph" w:styleId="Ttulo2">
    <w:name w:val="heading 2"/>
    <w:uiPriority w:val="9"/>
    <w:unhideWhenUsed/>
    <w:qFormat/>
    <w:pPr>
      <w:spacing w:before="220" w:after="120"/>
      <w:outlineLvl w:val="1"/>
    </w:pPr>
    <w:rPr>
      <w:b/>
      <w:bCs/>
      <w:color w:val="1F1F1F"/>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1676</Words>
  <Characters>9220</Characters>
  <Application>Microsoft Office Word</Application>
  <DocSecurity>0</DocSecurity>
  <Lines>76</Lines>
  <Paragraphs>21</Paragraphs>
  <ScaleCrop>false</ScaleCrop>
  <Company/>
  <LinksUpToDate>false</LinksUpToDate>
  <CharactersWithSpaces>10875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Ernest Seguí Serra</cp:lastModifiedBy>
  <cp:revision>2</cp:revision>
  <dcterms:created xsi:type="dcterms:W3CDTF">2026-06-22T11:21:00Z</dcterms:created>
  <dcterms:modified xsi:type="dcterms:W3CDTF">2026-06-22T14:34:00Z</dcterms:modified>
</cp:coreProperties>
</file>