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356A8" w14:textId="79CB75A6" w:rsidR="00B05323" w:rsidRDefault="00C83E7B">
      <w:pPr>
        <w:pStyle w:val="Cmsor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4091D818" w:rsidR="00B05323" w:rsidRDefault="00C83E7B">
      <w:pPr>
        <w:spacing w:after="753"/>
        <w:ind w:left="852" w:hanging="644"/>
      </w:pPr>
      <w:r>
        <w:rPr>
          <w:sz w:val="36"/>
        </w:rPr>
        <w:t xml:space="preserve">A </w:t>
      </w:r>
      <w:r>
        <w:rPr>
          <w:b/>
          <w:sz w:val="36"/>
        </w:rPr>
        <w:t xml:space="preserve"> </w:t>
      </w:r>
      <w:r w:rsidR="003B02D8">
        <w:rPr>
          <w:b/>
          <w:sz w:val="36"/>
        </w:rPr>
        <w:t xml:space="preserve">1-cég1-2023</w:t>
      </w:r>
      <w:r>
        <w:rPr>
          <w:b/>
          <w:sz w:val="36"/>
        </w:rPr>
        <w:t xml:space="preserve"> </w:t>
      </w:r>
      <w:r>
        <w:rPr>
          <w:sz w:val="36"/>
        </w:rPr>
        <w:t xml:space="preserve"> felhasználási helyen létesítendő háztartási méretű kiserőmű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7312F56F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 xml:space="preserve"/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2B66D773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 xml:space="preserve">1156 Budapest, Nyírpalota út 343 em 21 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130E1E91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Pr="00E96F82">
        <w:rPr>
          <w:b/>
          <w:color w:val="0000FF"/>
          <w:sz w:val="36"/>
        </w:rPr>
        <w:t xml:space="preserve"/>
      </w:r>
    </w:p>
    <w:p w14:paraId="2557527A" w14:textId="77777777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color w:val="0000FF"/>
          <w:sz w:val="36"/>
        </w:rPr>
        <w:t>{FELHASZNÁLÁSI HELY CÍME}</w:t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>
        <w:rPr>
          <w:b/>
          <w:color w:val="0000FF"/>
          <w:sz w:val="36"/>
        </w:rPr>
        <w:t>{KELL RÁ ÚJ OSZLOP EXCELBEN}</w:t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393F085F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E96F82" w:rsidRPr="00E96F82">
        <w:rPr>
          <w:color w:val="70AD47" w:themeColor="accent6"/>
          <w:sz w:val="36"/>
        </w:rPr>
        <w:t>#napi aktuális dátum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100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100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Cmsor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100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100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100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100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100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100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100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101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101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Cmsor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101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296C1725" w:rsidR="00B05323" w:rsidRDefault="00E95F5A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{PARTNERSZÁM}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DF55737" w:rsidR="00B05323" w:rsidRPr="00E95F5A" w:rsidRDefault="00E95F5A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{Felhasználási_hely_címe}</w:t>
            </w:r>
            <w:r w:rsidR="00C83E7B" w:rsidRPr="00E95F5A">
              <w:rPr>
                <w:color w:val="4472C4" w:themeColor="accent1"/>
              </w:rPr>
              <w:t xml:space="preserve"> 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3A07A795" w:rsidR="00B05323" w:rsidRPr="00E95F5A" w:rsidRDefault="00E95F5A" w:rsidP="00E95F5A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{Felhasználási hely azonsító}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33C040C1" w:rsidR="00B05323" w:rsidRDefault="00E95F5A" w:rsidP="00E95F5A">
            <w:pPr>
              <w:spacing w:after="0" w:line="259" w:lineRule="auto"/>
              <w:ind w:left="22" w:firstLine="0"/>
            </w:pPr>
            <w:r w:rsidRPr="00E95F5A">
              <w:rPr>
                <w:color w:val="4472C4" w:themeColor="accent1"/>
              </w:rPr>
              <w:t>{Érintett elszámolási mérő gyári száma}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3D7FB0A7" w:rsidR="00B05323" w:rsidRDefault="007226C3" w:rsidP="007226C3">
            <w:pPr>
              <w:spacing w:after="0" w:line="259" w:lineRule="auto"/>
              <w:ind w:left="23" w:firstLine="0"/>
            </w:pPr>
            <w:r w:rsidRPr="007226C3">
              <w:rPr>
                <w:color w:val="4472C4" w:themeColor="accent1"/>
              </w:rPr>
              <w:t>{Rendszerhasználó neve}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67F1DE22" w:rsidR="00B05323" w:rsidRPr="007226C3" w:rsidRDefault="007226C3" w:rsidP="007226C3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Pr="007226C3">
              <w:rPr>
                <w:rFonts w:ascii="Arial" w:hAnsi="Arial" w:cs="Arial"/>
                <w:color w:val="4472C4" w:themeColor="accent1"/>
              </w:rPr>
              <w:t>Születési név</w:t>
            </w:r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6A89F1F7" w:rsidR="00B05323" w:rsidRPr="007226C3" w:rsidRDefault="007226C3" w:rsidP="007226C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Pr="007226C3">
              <w:rPr>
                <w:rFonts w:ascii="Arial" w:hAnsi="Arial" w:cs="Arial"/>
                <w:color w:val="4472C4" w:themeColor="accent1"/>
              </w:rPr>
              <w:t>Anyja neve</w:t>
            </w:r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072426F2" w:rsidR="00B05323" w:rsidRPr="007226C3" w:rsidRDefault="007226C3" w:rsidP="007226C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Pr="007226C3">
              <w:rPr>
                <w:rFonts w:ascii="Arial" w:hAnsi="Arial" w:cs="Arial"/>
                <w:color w:val="4472C4" w:themeColor="accent1"/>
              </w:rPr>
              <w:t>Születési hely, dátum</w:t>
            </w:r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6AC912F0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7226C3" w:rsidRPr="007226C3">
              <w:rPr>
                <w:color w:val="4472C4" w:themeColor="accent1"/>
              </w:rPr>
              <w:t>{</w:t>
            </w:r>
            <w:r w:rsidR="007226C3" w:rsidRPr="007226C3">
              <w:rPr>
                <w:rFonts w:ascii="Arial" w:hAnsi="Arial" w:cs="Arial"/>
                <w:color w:val="4472C4" w:themeColor="accent1"/>
              </w:rPr>
              <w:t>Felhasználó elérhetősége (tel. / e-mail)}</w:t>
            </w:r>
          </w:p>
          <w:p w14:paraId="43BA58BE" w14:textId="1CA21505" w:rsidR="00B05323" w:rsidRDefault="00C83E7B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7226C3" w:rsidRPr="007226C3">
              <w:rPr>
                <w:color w:val="4472C4" w:themeColor="accent1"/>
              </w:rPr>
              <w:t>{kell egy új oszlop e-mail}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01715937" w:rsidR="007226C3" w:rsidRDefault="007226C3" w:rsidP="007226C3">
            <w:pPr>
              <w:spacing w:after="0" w:line="259" w:lineRule="auto"/>
              <w:ind w:left="23" w:firstLine="0"/>
            </w:pPr>
            <w:r w:rsidRPr="007226C3">
              <w:rPr>
                <w:color w:val="70AD47" w:themeColor="accent6"/>
              </w:rPr>
              <w:t xml:space="preserve">#copy </w:t>
            </w:r>
            <w:r w:rsidRPr="00E95F5A">
              <w:rPr>
                <w:color w:val="4472C4" w:themeColor="accent1"/>
              </w:rPr>
              <w:t xml:space="preserve">{Felhasználási_hely_címe} </w:t>
            </w:r>
            <w:r w:rsidRPr="007226C3">
              <w:rPr>
                <w:color w:val="70AD47" w:themeColor="accent6"/>
              </w:rPr>
              <w:t>konstans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31966116" w:rsidR="00B05323" w:rsidRPr="007226C3" w:rsidRDefault="007226C3">
            <w:pPr>
              <w:spacing w:after="0" w:line="259" w:lineRule="auto"/>
              <w:ind w:left="0" w:firstLine="0"/>
              <w:rPr>
                <w:bCs/>
                <w:color w:val="4472C4" w:themeColor="accent1"/>
              </w:rPr>
            </w:pPr>
            <w:r w:rsidRPr="007226C3">
              <w:rPr>
                <w:bCs/>
                <w:color w:val="4472C4" w:themeColor="accent1"/>
              </w:rPr>
              <w:t>{Termelői kapacitás csatlakoztatása}</w:t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6F210C78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{Felhasználási helyen rendelkezésre álló teljesítmény: (pl. 3x32A, vagy 1x32 A)}</w:t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7226C3">
              <w:rPr>
                <w:color w:val="4472C4" w:themeColor="accent1"/>
              </w:rPr>
              <w:t>{új oszlop kell xcel-ben}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r>
              <w:t>Inverterek: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5B64E16C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7226C3" w:rsidRPr="007226C3">
              <w:rPr>
                <w:b/>
                <w:color w:val="4472C4" w:themeColor="accent1"/>
              </w:rPr>
              <w:t>{</w:t>
            </w:r>
            <w:r w:rsidR="007226C3" w:rsidRPr="007226C3">
              <w:rPr>
                <w:color w:val="4472C4" w:themeColor="accent1"/>
              </w:rPr>
              <w:t>Inverter}</w:t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75E25BCA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 w:rsid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Állami/EU-s támogatás: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>Megtermelt többlet kiszáml</w:t>
            </w:r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2022-09-15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75B1F808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E95F5A" w:rsidRPr="00E95F5A">
        <w:rPr>
          <w:b/>
          <w:bCs/>
          <w:color w:val="4472C4" w:themeColor="accent1"/>
        </w:rPr>
        <w:t>{Beépített termelői kapacitás kW-ban}</w:t>
      </w:r>
      <w:r w:rsidRPr="00E95F5A">
        <w:rPr>
          <w:b/>
          <w:bCs/>
          <w:color w:val="4472C4" w:themeColor="accent1"/>
        </w:rPr>
        <w:t xml:space="preserve"> </w:t>
      </w:r>
      <w:r>
        <w:rPr>
          <w:b/>
        </w:rPr>
        <w:t>kWp</w:t>
      </w:r>
      <w:r>
        <w:t xml:space="preserve">, az inverter névleges AC oldali teljesítménye alapján meghatározott villamos teljesítménye </w:t>
      </w:r>
      <w:r w:rsidR="00E95F5A" w:rsidRPr="00E95F5A">
        <w:rPr>
          <w:b/>
          <w:color w:val="4472C4" w:themeColor="accent1"/>
        </w:rPr>
        <w:t>{DC oldali villamos teljesítménye}</w:t>
      </w:r>
      <w:r w:rsidRPr="00E95F5A">
        <w:rPr>
          <w:b/>
          <w:color w:val="4472C4" w:themeColor="accent1"/>
        </w:rPr>
        <w:t xml:space="preserve"> </w:t>
      </w:r>
      <w:r>
        <w:rPr>
          <w:b/>
        </w:rPr>
        <w:t>kVA.</w:t>
      </w:r>
    </w:p>
    <w:p w14:paraId="347BABCB" w14:textId="77777777" w:rsidR="00B05323" w:rsidRDefault="00C83E7B">
      <w:pPr>
        <w:ind w:left="25" w:right="153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>A termelő berendezés elemei közül egyedül az alkalmazható inverterre van előírás. Csak rendszerengedélyes inverter építhető be, az alkalmazott inverter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túláramvédelmi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>típusú elemek alkalmazásával készültek. A napelem DC oldali csatlakozódoboz az előírásoknak megfelelő, a dobozon figyelmeztető felirat és piktogram található, jelezve, hogy az aktív vezetők az inverterről való leválasztás után is feszültség alatt maradhatnak. Az inverterről való leválasztást a DC oldali satlakozódobozban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>A termelő berendezés AC oldali hibavédelme illeszkedik a fogyasztói berendezés érintésvédelmi megoldásához. Az inverter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1013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 nélkül az inverter egyen- és váltakozó áramú oldalán,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1014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Villámvédelmi szabványnak megfelelő (MSZ EN 62305) a veszélyes megközelítés figyelembevételével kialakított rendszer esetén az inverter egyen- és váltakozó áramú oldalán T2 típusú, a csatlakozási ponton T1 típusú túlfeszültség védelmi készüléket kell elhelyezni.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1015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Villámvédelemmel rendelkező, de a villámvédelmi szabvány (MSZ EN 62305) által előírt veszélyes megközelítési távolság betartása nélkül kialakított rendszer esetén az inverter egyen- és váltakozó áramú oldalán, valamint a csatlakozási ponton T1 típusú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1016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 az inverter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>A berendezés a várható hálózati visszahatás szempontjából megfelel az érvényben lévő Elosztói szabályzat előírásainak. A termelő berendezés által okozott hálózatszennyezések (relatív THD / flicker /</w:t>
      </w:r>
    </w:p>
    <w:p w14:paraId="7B27AAC1" w14:textId="77777777" w:rsidR="00B05323" w:rsidRDefault="00C83E7B">
      <w:pPr>
        <w:ind w:left="25" w:right="153"/>
      </w:pPr>
      <w:r>
        <w:t>feszültségváltozások stb.) nem nagyobbak az MSZ EN50160 szabványban meghatározott feszültségminőségi határértékek 1/5-énél. Az inverter által a hálózatba visszatáplált áram alakja szinuszos, nagyon alacsony harmonikus torzítással, a jelalakot folyamatos mikroprocesszoros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>A rendszer teljesen automatikusan üzemel. Amikor az inverter bemeneti feszültsége eléri a beállított bekapcsolási értéket, az inverter hálózatra kapcsolódik. Hálózati szinkron megszűnése (táplálás kimaradás) esetén az inverter azonnal leválik a hálózatról, zárlatra nem táplál, szigetüzemben nem képes működni. A fenti feltételeket az AC oldalon galvanikus leválasztást biztosító megszakító rendszer biztosítja, amit az inverterbe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94477" w14:textId="77777777" w:rsidR="000241CD" w:rsidRDefault="000241CD">
      <w:pPr>
        <w:spacing w:after="0" w:line="240" w:lineRule="auto"/>
      </w:pPr>
      <w:r>
        <w:separator/>
      </w:r>
    </w:p>
  </w:endnote>
  <w:endnote w:type="continuationSeparator" w:id="0">
    <w:p w14:paraId="47BF4FC2" w14:textId="77777777" w:rsidR="000241CD" w:rsidRDefault="00024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361F63" w:rsidRPr="00361F63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361F63" w:rsidRPr="00361F63">
      <w:rPr>
        <w:b/>
        <w:noProof/>
      </w:rPr>
      <w:t>1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BA74F8" w:rsidRPr="00BA74F8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361F63" w:rsidRPr="00361F63">
      <w:rPr>
        <w:b/>
        <w:noProof/>
      </w:rPr>
      <w:t>7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8EB52" w14:textId="77777777" w:rsidR="000241CD" w:rsidRDefault="000241CD">
      <w:pPr>
        <w:spacing w:after="0" w:line="240" w:lineRule="auto"/>
      </w:pPr>
      <w:r>
        <w:separator/>
      </w:r>
    </w:p>
  </w:footnote>
  <w:footnote w:type="continuationSeparator" w:id="0">
    <w:p w14:paraId="4DF93138" w14:textId="77777777" w:rsidR="000241CD" w:rsidRDefault="00024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2E4D1" w14:textId="5D99A93C" w:rsidR="00E96F82" w:rsidRDefault="003B02D8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 xml:space="preserve">1-cég1-2023</w:t>
    </w:r>
    <w:r w:rsidR="00E96F82"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80641" w14:textId="263C8BB3" w:rsidR="00E96F82" w:rsidRDefault="00E96F82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 xml:space="preserve">1-cég1-2023</w:t>
    </w:r>
    <w:r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1F290F20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8" name="Rectangle 6078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E146A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9" name="Rectangle 6079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75" style="width:510.241pt;height:31.163pt;position:absolute;mso-position-horizontal-relative:page;mso-position-horizontal:absolute;margin-left:42.52pt;mso-position-vertical-relative:page;margin-top:15.355pt;" coordsize="64800,3957">
              <v:shape id="Shape 6503" style="position:absolute;width:64800;height:95;left:0;top:3862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v:shape id="Picture 6077" style="position:absolute;width:25506;height:3059;left:0;top:0;" filled="f">
                <v:imagedata r:id="rId13"/>
              </v:shape>
              <v:rect id="Rectangle 6078" style="position:absolute;width:8092;height:1806;left:43524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608040976</w:t>
                      </w:r>
                    </w:p>
                  </w:txbxContent>
                </v:textbox>
              </v:rect>
              <v:rect id="Rectangle 6079" style="position:absolute;width:20204;height:1806;left:49609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80" style="position:absolute;width:18051;height:1806;left:43524;top:20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Készítette: Almási Gergő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57" style="width:510.241pt;height:31.163pt;position:absolute;mso-position-horizontal-relative:page;mso-position-horizontal:absolute;margin-left:42.52pt;mso-position-vertical-relative:page;margin-top:15.355pt;" coordsize="64800,3957">
              <v:shape id="Shape 6501" style="position:absolute;width:64800;height:95;left:0;top:3862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v:shape id="Picture 6059" style="position:absolute;width:25506;height:3059;left:0;top:0;" filled="f">
                <v:imagedata r:id="rId13"/>
              </v:shape>
              <v:rect id="Rectangle 6060" style="position:absolute;width:8092;height:1806;left:43524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608040976</w:t>
                      </w:r>
                    </w:p>
                  </w:txbxContent>
                </v:textbox>
              </v:rect>
              <v:rect id="Rectangle 6061" style="position:absolute;width:20204;height:1806;left:49609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style="position:absolute;width:18051;height:1806;left:43524;top:20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Készítette: Almási Gergő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23"/>
    <w:rsid w:val="000241CD"/>
    <w:rsid w:val="002424FB"/>
    <w:rsid w:val="00361F63"/>
    <w:rsid w:val="003B02D8"/>
    <w:rsid w:val="004655A2"/>
    <w:rsid w:val="004D2AD3"/>
    <w:rsid w:val="006E75BA"/>
    <w:rsid w:val="007226C3"/>
    <w:rsid w:val="00B05323"/>
    <w:rsid w:val="00BA74F8"/>
    <w:rsid w:val="00C83E7B"/>
    <w:rsid w:val="00E95F5A"/>
    <w:rsid w:val="00E96F82"/>
    <w:rsid w:val="00EE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45"/>
    </w:rPr>
  </w:style>
  <w:style w:type="character" w:customStyle="1" w:styleId="Cmsor2Char">
    <w:name w:val="Címsor 2 Char"/>
    <w:link w:val="Cmsor2"/>
    <w:rPr>
      <w:rFonts w:ascii="Calibri" w:eastAsia="Calibri" w:hAnsi="Calibri" w:cs="Calibri"/>
      <w:color w:val="000000"/>
      <w:sz w:val="36"/>
    </w:rPr>
  </w:style>
  <w:style w:type="character" w:customStyle="1" w:styleId="Cmsor3Char">
    <w:name w:val="Címsor 3 Char"/>
    <w:link w:val="Cmsor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'1.0' encoding='UTF-8' standalone='yes'?>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6.xml.rels><?xml version='1.0' encoding='UTF-8' standalone='yes'?>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ELMŰ • Microsites</vt:lpstr>
    </vt:vector>
  </TitlesOfParts>
  <Company/>
  <LinksUpToDate>false</LinksUpToDate>
  <CharactersWithSpaces>8889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Bertók Péter</cp:lastModifiedBy>
  <cp:revision>8</cp:revision>
  <dcterms:created xsi:type="dcterms:W3CDTF">2023-03-15T16:47:00Z</dcterms:created>
  <dcterms:modified xsi:type="dcterms:W3CDTF">2023-03-15T20:03:00Z</dcterms:modified>
  <dc:description/>
  <dc:identifier/>
  <dc:language/>
</cp:coreProperties>
</file>