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Scale-Invariant Baselines Can Certify a Broken Deep Model: Grouped-Normalisation Collapse in Learned Simulation Screening</w:t>
      </w:r>
    </w:p>
    <w:p>
      <w:pPr>
        <w:jc w:val="center"/>
      </w:pPr>
      <w:r>
        <w:rPr>
          <w:i w:val="0"/>
          <w:sz w:val="22"/>
        </w:rPr>
        <w:t>Harsha Sakamuri</w:t>
      </w:r>
    </w:p>
    <w:p>
      <w:pPr>
        <w:jc w:val="center"/>
      </w:pPr>
      <w:r>
        <w:rPr>
          <w:i/>
          <w:sz w:val="20"/>
        </w:rPr>
        <w:t>[affiliation]</w:t>
      </w:r>
    </w:p>
    <w:p>
      <w:pPr>
        <w:jc w:val="center"/>
      </w:pPr>
      <w:r>
        <w:rPr>
          <w:i/>
          <w:sz w:val="18"/>
        </w:rPr>
        <w:t>Draft — generated from measured artifacts by docs/paper/build_paper.py</w:t>
      </w:r>
    </w:p>
    <w:p>
      <w:pPr>
        <w:spacing w:after="200"/>
      </w:pPr>
      <w:r>
        <w:rPr>
          <w:b/>
          <w:sz w:val="19"/>
        </w:rPr>
        <w:t>Abstract—</w:t>
      </w:r>
      <w:r>
        <w:rPr>
          <w:sz w:val="19"/>
        </w:rPr>
        <w:t>Sharing one feature scaler across heterogeneous groups is a routine preprocessing choice. We show it can silently destroy a sequence model while every standard sanity check reports success. On a corpus of 70,000 simulated interplanetary trajectories across seven targets, a Transformer trained under a scaler pooled across a group of targets degenerates on Venus to a constant output: held-out prediction standard deviation 3.11e-05 and validation AUC 0.6037, against 0.9999 for the identical architecture under per-timestep normalisation. A gradient-boosted tree fitted to the same arrays under the same preprocessing is unaffected: its AUC varies by at most 0.0002 across all three normalisation conditions, reporting near-perfect separability while the network cannot discriminate at all. The practitioner's instinct to validate a pipeline with a simple baseline therefore fails precisely here, because trees are invariant to the defect that destroys the network. The effect is severe but not universal: 1 of 4 targets collapses outright, while the remainder lose 0.0003 to 0.0925 AUC without collapsing, and we report the conditions under which it does and does not appear. We decompose the cause — pooling across timesteps is survivable, pooling across groups is not — give a diagnostic based on prediction variance rather than accuracy, and report a second failure in which the same model cannot reach a rare class that a tree separates from its own input.</w:t>
      </w:r>
    </w:p>
    <w:p>
      <w:pPr>
        <w:pStyle w:val="Heading1"/>
      </w:pPr>
      <w:r>
        <w:t>1  Introduction</w:t>
      </w:r>
    </w:p>
    <w:p>
      <w:pPr>
        <w:jc w:val="both"/>
      </w:pPr>
      <w:r>
        <w:t>Monte Carlo trajectory campaigns spend most of their compute on runs that were doomed at injection. A natural response is to learn a screen: watch the early trajectory and cancel the runs that will fail. Building that screen surfaced two failures that we believe generalise well beyond astrodynamics, and one negative result about the screen itself.</w:t>
      </w:r>
    </w:p>
    <w:p>
      <w:pPr>
        <w:jc w:val="both"/>
      </w:pPr>
      <w:r>
        <w:t>The first failure is the subject of this paper. A deep model trained on grouped data, with one feature scaler fitted across the group, collapsed to emitting a single constant per group. It was not detected for a long time, and the reason it was not detected is the interesting part: every check that would normally catch it reported that the pipeline was healthy. Validation AUC was high, because a mixed validation set lets a model score well by ranking groups against each other without discriminating within any of them. A gradient-boosted baseline on the identical arrays reported near-perfect performance, because trees split on absolute values and are invariant to the scaling that the network depends on.</w:t>
      </w:r>
    </w:p>
    <w:p>
      <w:pPr>
        <w:jc w:val="both"/>
      </w:pPr>
      <w:r>
        <w:t>We make three contributions. (i) A controlled decomposition of the collapse, isolating pooling across timesteps from pooling across groups and showing only the latter is fatal. (ii) A demonstration that a scale-invariant baseline actively certifies the broken configuration, with a diagnostic that catches it. (iii) A second failure of the same model class — an inability to reach a rare class that is linearly recoverable from its own input — which is measurable rather than speculative.</w:t>
      </w:r>
    </w:p>
    <w:p>
      <w:pPr>
        <w:jc w:val="both"/>
      </w:pPr>
      <w:r>
        <w:t>All numbers in this paper are produced by scripts in the accompanying repository and written to machine-readable artifacts; the paper itself is generated from those artifacts.</w:t>
      </w:r>
    </w:p>
    <w:p>
      <w:pPr>
        <w:pStyle w:val="Heading1"/>
      </w:pPr>
      <w:r>
        <w:t>2  Setup</w:t>
      </w:r>
    </w:p>
    <w:p>
      <w:pPr>
        <w:pStyle w:val="Heading2"/>
      </w:pPr>
      <w:r>
        <w:t>2.1  Task and data</w:t>
      </w:r>
    </w:p>
    <w:p>
      <w:pPr>
        <w:jc w:val="both"/>
      </w:pPr>
      <w:r>
        <w:t>The corpus is 70,000 simulated Earth-departure missions across seven interplanetary targets (Mercury through Neptune), 10,000 per target, generated from a deterministic two/three-body propagator. Each mission is parameterised by six injection offsets — three components of the trans-orbit-insertion burn and three parking-orbit angles — and labelled success or failure, with failures further typed by mode (surface impact, orbit too high, missed target, and others). Telemetry is sampled at a fixed cadence and downsampled to roughly 100 steps per mission so that targets whose flight times differ by two orders of magnitude yield comparable sequence lengths.</w:t>
      </w:r>
    </w:p>
    <w:p>
      <w:pPr>
        <w:jc w:val="both"/>
      </w:pPr>
      <w:r>
        <w:t>The screening task is: observe the first 40% of a mission's trajectory and decide whether to abort. Splits are 70/15/15 by mission, deterministic in (n, seed), and shared by every experiment through a single definition so that no model is evaluated on data used to select it.</w:t>
      </w:r>
    </w:p>
    <w:p>
      <w:pPr>
        <w:pStyle w:val="Heading2"/>
      </w:pPr>
      <w:r>
        <w:t>2.2  Models</w:t>
      </w:r>
    </w:p>
    <w:p>
      <w:pPr>
        <w:jc w:val="both"/>
      </w:pPr>
      <w:r>
        <w:t>The sequence model is a Pre-LN Transformer encoder (d_model 128, 8 heads, 4 layers, CLS pooling) with two heads sharing a trunk: mission outcome and failure mode. It is trained on random prefixes so it is in-distribution at any streaming position. The baseline is XGBoost (300 trees, depth 5) fitted to the same normalised prefix, flattened. Throughout, 'identical input' means literally the same array: the baseline consumes the view the network receives, not a re-derived feature set.</w:t>
      </w:r>
    </w:p>
    <w:p>
      <w:pPr>
        <w:pStyle w:val="Heading2"/>
      </w:pPr>
      <w:r>
        <w:t>2.3  Normalisation conditions</w:t>
      </w:r>
    </w:p>
    <w:p>
      <w:pPr>
        <w:jc w:val="both"/>
      </w:pPr>
      <w:r>
        <w:t>Three conditions differ only in how the feature statistics are pooled. Architecture, seed, split, optimiser and epoch budget are held fixed.</w:t>
      </w:r>
    </w:p>
    <w:p>
      <w:pPr>
        <w:pStyle w:val="ListBullet"/>
      </w:pPr>
      <w:r>
        <w:t>per-timestep — each feature standardised against its distribution at that timestep index across missions of one target. This is the production configuration.</w:t>
      </w:r>
    </w:p>
    <w:p>
      <w:pPr>
        <w:pStyle w:val="ListBullet"/>
      </w:pPr>
      <w:r>
        <w:t>global — one RobustScaler (median, IQR) per target, pooled across all timesteps of that target.</w:t>
      </w:r>
    </w:p>
    <w:p>
      <w:pPr>
        <w:pStyle w:val="ListBullet"/>
      </w:pPr>
      <w:r>
        <w:t>grouped — one RobustScaler pooled across all timesteps of every target in a regime group (inner: Mercury, Venus, Mars; outer: Jupiter, Saturn, Uranus, Neptune). This reproduces the configuration that failed.</w:t>
      </w:r>
    </w:p>
    <w:p>
      <w:pPr>
        <w:pStyle w:val="Heading1"/>
      </w:pPr>
      <w:r>
        <w:t>3  Grouped-Normalisation Collapse</w:t>
      </w:r>
    </w:p>
    <w:p>
      <w:pPr>
        <w:pStyle w:val="Heading2"/>
      </w:pPr>
      <w:r>
        <w:t>3.1  Mechanism</w:t>
      </w:r>
    </w:p>
    <w:p>
      <w:pPr>
        <w:jc w:val="both"/>
      </w:pPr>
      <w:r>
        <w:t>A mission's features sweep a wide range over its flight, and different targets occupy ranges that differ by orders of magnitude. A scaler fitted over a pooled set therefore has its scale set by the largest source of variation in the pool. What the screen must actually discriminate is none of those: it is the mission-to-mission spread at a given point in flight, which is small by comparison. Pooling divides that spread by a denominator chosen for something else, compressing the discriminative signal toward zero while leaving the between-group structure intact.</w:t>
      </w:r>
    </w:p>
    <w:p>
      <w:pPr>
        <w:jc w:val="both"/>
      </w:pPr>
      <w:r>
        <w:t>We quantify this as the signal ratio: the mean across-mission standard deviation of the normalised features, measured inside the observed window only. The restriction matters. Averaged over the whole flight the metric is uninformative, because late timesteps carry enormous across-mission spread — failing trajectories have physically diverged by then — which swamps the early signal and makes every condition look healthy. The model commits at 40%, so the relevant quantity is the spread inside the prefix it sees.</w:t>
      </w:r>
    </w:p>
    <w:p>
      <w:pPr>
        <w:pStyle w:val="Heading2"/>
      </w:pPr>
      <w:r>
        <w:t>3.2  Controlled ablation</w:t>
      </w:r>
    </w:p>
    <w:p>
      <w:pPr>
        <w:spacing w:before="160" w:after="40"/>
      </w:pPr>
      <w:r>
        <w:rPr>
          <w:b/>
          <w:sz w:val="18"/>
        </w:rPr>
        <w:t>Table 1  Normalisation ablation. Identical architecture, seed and split; only pooling differs. 'signal' is the mean within-timestep standard deviation of normalised features in the observed window; 'std' is the standard deviation of P(fail) over the held-out split.</w:t>
      </w:r>
    </w:p>
    <w:tbl>
      <w:tblPr>
        <w:tblStyle w:val="TableGrid"/>
        <w:tblW w:type="auto" w:w="0"/>
        <w:jc w:val="center"/>
        <w:tblLook w:firstColumn="1" w:firstRow="1" w:lastColumn="0" w:lastRow="0" w:noHBand="0" w:noVBand="1" w:val="04A0"/>
      </w:tblPr>
      <w:tblGrid>
        <w:gridCol w:w="965"/>
        <w:gridCol w:w="965"/>
        <w:gridCol w:w="965"/>
        <w:gridCol w:w="965"/>
        <w:gridCol w:w="965"/>
        <w:gridCol w:w="965"/>
        <w:gridCol w:w="965"/>
        <w:gridCol w:w="965"/>
        <w:gridCol w:w="965"/>
        <w:gridCol w:w="965"/>
      </w:tblGrid>
      <w:tr>
        <w:tc>
          <w:tcPr>
            <w:tcW w:type="dxa" w:w="965"/>
          </w:tcPr>
          <w:p>
            <w:r/>
            <w:r>
              <w:rPr>
                <w:b/>
                <w:sz w:val="17"/>
              </w:rPr>
              <w:t>Target</w:t>
            </w:r>
          </w:p>
        </w:tc>
        <w:tc>
          <w:tcPr>
            <w:tcW w:type="dxa" w:w="965"/>
          </w:tcPr>
          <w:p>
            <w:r/>
            <w:r>
              <w:rPr>
                <w:b/>
                <w:sz w:val="17"/>
              </w:rPr>
              <w:t>sig</w:t>
            </w:r>
          </w:p>
        </w:tc>
        <w:tc>
          <w:tcPr>
            <w:tcW w:type="dxa" w:w="965"/>
          </w:tcPr>
          <w:p>
            <w:r/>
            <w:r>
              <w:rPr>
                <w:b/>
                <w:sz w:val="17"/>
              </w:rPr>
              <w:t>AUC</w:t>
            </w:r>
          </w:p>
        </w:tc>
        <w:tc>
          <w:tcPr>
            <w:tcW w:type="dxa" w:w="965"/>
          </w:tcPr>
          <w:p>
            <w:r/>
            <w:r>
              <w:rPr>
                <w:b/>
                <w:sz w:val="17"/>
              </w:rPr>
              <w:t>std</w:t>
            </w:r>
          </w:p>
        </w:tc>
        <w:tc>
          <w:tcPr>
            <w:tcW w:type="dxa" w:w="965"/>
          </w:tcPr>
          <w:p>
            <w:r/>
            <w:r>
              <w:rPr>
                <w:b/>
                <w:sz w:val="17"/>
              </w:rPr>
              <w:t>sig</w:t>
            </w:r>
          </w:p>
        </w:tc>
        <w:tc>
          <w:tcPr>
            <w:tcW w:type="dxa" w:w="965"/>
          </w:tcPr>
          <w:p>
            <w:r/>
            <w:r>
              <w:rPr>
                <w:b/>
                <w:sz w:val="17"/>
              </w:rPr>
              <w:t>AUC</w:t>
            </w:r>
          </w:p>
        </w:tc>
        <w:tc>
          <w:tcPr>
            <w:tcW w:type="dxa" w:w="965"/>
          </w:tcPr>
          <w:p>
            <w:r/>
            <w:r>
              <w:rPr>
                <w:b/>
                <w:sz w:val="17"/>
              </w:rPr>
              <w:t>std</w:t>
            </w:r>
          </w:p>
        </w:tc>
        <w:tc>
          <w:tcPr>
            <w:tcW w:type="dxa" w:w="965"/>
          </w:tcPr>
          <w:p>
            <w:r/>
            <w:r>
              <w:rPr>
                <w:b/>
                <w:sz w:val="17"/>
              </w:rPr>
              <w:t>sig</w:t>
            </w:r>
          </w:p>
        </w:tc>
        <w:tc>
          <w:tcPr>
            <w:tcW w:type="dxa" w:w="965"/>
          </w:tcPr>
          <w:p>
            <w:r/>
            <w:r>
              <w:rPr>
                <w:b/>
                <w:sz w:val="17"/>
              </w:rPr>
              <w:t>AUC</w:t>
            </w:r>
          </w:p>
        </w:tc>
        <w:tc>
          <w:tcPr>
            <w:tcW w:type="dxa" w:w="965"/>
          </w:tcPr>
          <w:p>
            <w:r/>
            <w:r>
              <w:rPr>
                <w:b/>
                <w:sz w:val="17"/>
              </w:rPr>
              <w:t>std</w:t>
            </w:r>
          </w:p>
        </w:tc>
      </w:tr>
      <w:tr>
        <w:tc>
          <w:tcPr>
            <w:tcW w:type="dxa" w:w="965"/>
          </w:tcPr>
          <w:p>
            <w:r/>
            <w:r>
              <w:rPr>
                <w:sz w:val="17"/>
              </w:rPr>
              <w:t>Venus</w:t>
            </w:r>
          </w:p>
        </w:tc>
        <w:tc>
          <w:tcPr>
            <w:tcW w:type="dxa" w:w="965"/>
          </w:tcPr>
          <w:p>
            <w:r/>
            <w:r>
              <w:rPr>
                <w:sz w:val="17"/>
              </w:rPr>
              <w:t>0.7681</w:t>
            </w:r>
          </w:p>
        </w:tc>
        <w:tc>
          <w:tcPr>
            <w:tcW w:type="dxa" w:w="965"/>
          </w:tcPr>
          <w:p>
            <w:r/>
            <w:r>
              <w:rPr>
                <w:sz w:val="17"/>
              </w:rPr>
              <w:t>0.9999</w:t>
            </w:r>
          </w:p>
        </w:tc>
        <w:tc>
          <w:tcPr>
            <w:tcW w:type="dxa" w:w="965"/>
          </w:tcPr>
          <w:p>
            <w:r/>
            <w:r>
              <w:rPr>
                <w:sz w:val="17"/>
              </w:rPr>
              <w:t>4.72e-01</w:t>
            </w:r>
          </w:p>
        </w:tc>
        <w:tc>
          <w:tcPr>
            <w:tcW w:type="dxa" w:w="965"/>
          </w:tcPr>
          <w:p>
            <w:r/>
            <w:r>
              <w:rPr>
                <w:sz w:val="17"/>
              </w:rPr>
              <w:t>0.0518</w:t>
            </w:r>
          </w:p>
        </w:tc>
        <w:tc>
          <w:tcPr>
            <w:tcW w:type="dxa" w:w="965"/>
          </w:tcPr>
          <w:p>
            <w:r/>
            <w:r>
              <w:rPr>
                <w:sz w:val="17"/>
              </w:rPr>
              <w:t>0.9947</w:t>
            </w:r>
          </w:p>
        </w:tc>
        <w:tc>
          <w:tcPr>
            <w:tcW w:type="dxa" w:w="965"/>
          </w:tcPr>
          <w:p>
            <w:r/>
            <w:r>
              <w:rPr>
                <w:sz w:val="17"/>
              </w:rPr>
              <w:t>4.50e-01</w:t>
            </w:r>
          </w:p>
        </w:tc>
        <w:tc>
          <w:tcPr>
            <w:tcW w:type="dxa" w:w="965"/>
          </w:tcPr>
          <w:p>
            <w:r/>
            <w:r>
              <w:rPr>
                <w:sz w:val="17"/>
              </w:rPr>
              <w:t>0.0023</w:t>
            </w:r>
          </w:p>
        </w:tc>
        <w:tc>
          <w:tcPr>
            <w:tcW w:type="dxa" w:w="965"/>
          </w:tcPr>
          <w:p>
            <w:r/>
            <w:r>
              <w:rPr>
                <w:sz w:val="17"/>
              </w:rPr>
              <w:t>0.6037</w:t>
            </w:r>
          </w:p>
        </w:tc>
        <w:tc>
          <w:tcPr>
            <w:tcW w:type="dxa" w:w="965"/>
          </w:tcPr>
          <w:p>
            <w:r/>
            <w:r>
              <w:rPr>
                <w:sz w:val="17"/>
              </w:rPr>
              <w:t>3.11e-05</w:t>
            </w:r>
          </w:p>
        </w:tc>
      </w:tr>
      <w:tr>
        <w:tc>
          <w:tcPr>
            <w:tcW w:type="dxa" w:w="965"/>
          </w:tcPr>
          <w:p>
            <w:r/>
            <w:r>
              <w:rPr>
                <w:sz w:val="17"/>
              </w:rPr>
              <w:t>Mars</w:t>
            </w:r>
          </w:p>
        </w:tc>
        <w:tc>
          <w:tcPr>
            <w:tcW w:type="dxa" w:w="965"/>
          </w:tcPr>
          <w:p>
            <w:r/>
            <w:r>
              <w:rPr>
                <w:sz w:val="17"/>
              </w:rPr>
              <w:t>1.0829</w:t>
            </w:r>
          </w:p>
        </w:tc>
        <w:tc>
          <w:tcPr>
            <w:tcW w:type="dxa" w:w="965"/>
          </w:tcPr>
          <w:p>
            <w:r/>
            <w:r>
              <w:rPr>
                <w:sz w:val="17"/>
              </w:rPr>
              <w:t>0.9994</w:t>
            </w:r>
          </w:p>
        </w:tc>
        <w:tc>
          <w:tcPr>
            <w:tcW w:type="dxa" w:w="965"/>
          </w:tcPr>
          <w:p>
            <w:r/>
            <w:r>
              <w:rPr>
                <w:sz w:val="17"/>
              </w:rPr>
              <w:t>4.33e-01</w:t>
            </w:r>
          </w:p>
        </w:tc>
        <w:tc>
          <w:tcPr>
            <w:tcW w:type="dxa" w:w="965"/>
          </w:tcPr>
          <w:p>
            <w:r/>
            <w:r>
              <w:rPr>
                <w:sz w:val="17"/>
              </w:rPr>
              <w:t>0.0472</w:t>
            </w:r>
          </w:p>
        </w:tc>
        <w:tc>
          <w:tcPr>
            <w:tcW w:type="dxa" w:w="965"/>
          </w:tcPr>
          <w:p>
            <w:r/>
            <w:r>
              <w:rPr>
                <w:sz w:val="17"/>
              </w:rPr>
              <w:t>0.9972</w:t>
            </w:r>
          </w:p>
        </w:tc>
        <w:tc>
          <w:tcPr>
            <w:tcW w:type="dxa" w:w="965"/>
          </w:tcPr>
          <w:p>
            <w:r/>
            <w:r>
              <w:rPr>
                <w:sz w:val="17"/>
              </w:rPr>
              <w:t>4.00e-01</w:t>
            </w:r>
          </w:p>
        </w:tc>
        <w:tc>
          <w:tcPr>
            <w:tcW w:type="dxa" w:w="965"/>
          </w:tcPr>
          <w:p>
            <w:r/>
            <w:r>
              <w:rPr>
                <w:sz w:val="17"/>
              </w:rPr>
              <w:t>0.8005</w:t>
            </w:r>
          </w:p>
        </w:tc>
        <w:tc>
          <w:tcPr>
            <w:tcW w:type="dxa" w:w="965"/>
          </w:tcPr>
          <w:p>
            <w:r/>
            <w:r>
              <w:rPr>
                <w:sz w:val="17"/>
              </w:rPr>
              <w:t>0.9422</w:t>
            </w:r>
          </w:p>
        </w:tc>
        <w:tc>
          <w:tcPr>
            <w:tcW w:type="dxa" w:w="965"/>
          </w:tcPr>
          <w:p>
            <w:r/>
            <w:r>
              <w:rPr>
                <w:sz w:val="17"/>
              </w:rPr>
              <w:t>4.06e-01</w:t>
            </w:r>
          </w:p>
        </w:tc>
      </w:tr>
      <w:tr>
        <w:tc>
          <w:tcPr>
            <w:tcW w:type="dxa" w:w="965"/>
          </w:tcPr>
          <w:p>
            <w:r/>
            <w:r>
              <w:rPr>
                <w:sz w:val="17"/>
              </w:rPr>
              <w:t>Mercury</w:t>
            </w:r>
          </w:p>
        </w:tc>
        <w:tc>
          <w:tcPr>
            <w:tcW w:type="dxa" w:w="965"/>
          </w:tcPr>
          <w:p>
            <w:r/>
            <w:r>
              <w:rPr>
                <w:sz w:val="17"/>
              </w:rPr>
              <w:t>0.7686</w:t>
            </w:r>
          </w:p>
        </w:tc>
        <w:tc>
          <w:tcPr>
            <w:tcW w:type="dxa" w:w="965"/>
          </w:tcPr>
          <w:p>
            <w:r/>
            <w:r>
              <w:rPr>
                <w:sz w:val="17"/>
              </w:rPr>
              <w:t>0.9994</w:t>
            </w:r>
          </w:p>
        </w:tc>
        <w:tc>
          <w:tcPr>
            <w:tcW w:type="dxa" w:w="965"/>
          </w:tcPr>
          <w:p>
            <w:r/>
            <w:r>
              <w:rPr>
                <w:sz w:val="17"/>
              </w:rPr>
              <w:t>4.27e-01</w:t>
            </w:r>
          </w:p>
        </w:tc>
        <w:tc>
          <w:tcPr>
            <w:tcW w:type="dxa" w:w="965"/>
          </w:tcPr>
          <w:p>
            <w:r/>
            <w:r>
              <w:rPr>
                <w:sz w:val="17"/>
              </w:rPr>
              <w:t>0.1321</w:t>
            </w:r>
          </w:p>
        </w:tc>
        <w:tc>
          <w:tcPr>
            <w:tcW w:type="dxa" w:w="965"/>
          </w:tcPr>
          <w:p>
            <w:r/>
            <w:r>
              <w:rPr>
                <w:sz w:val="17"/>
              </w:rPr>
              <w:t>0.9970</w:t>
            </w:r>
          </w:p>
        </w:tc>
        <w:tc>
          <w:tcPr>
            <w:tcW w:type="dxa" w:w="965"/>
          </w:tcPr>
          <w:p>
            <w:r/>
            <w:r>
              <w:rPr>
                <w:sz w:val="17"/>
              </w:rPr>
              <w:t>4.23e-01</w:t>
            </w:r>
          </w:p>
        </w:tc>
        <w:tc>
          <w:tcPr>
            <w:tcW w:type="dxa" w:w="965"/>
          </w:tcPr>
          <w:p>
            <w:r/>
            <w:r>
              <w:rPr>
                <w:sz w:val="17"/>
              </w:rPr>
              <w:t>0.0484</w:t>
            </w:r>
          </w:p>
        </w:tc>
        <w:tc>
          <w:tcPr>
            <w:tcW w:type="dxa" w:w="965"/>
          </w:tcPr>
          <w:p>
            <w:r/>
            <w:r>
              <w:rPr>
                <w:sz w:val="17"/>
              </w:rPr>
              <w:t>0.9069</w:t>
            </w:r>
          </w:p>
        </w:tc>
        <w:tc>
          <w:tcPr>
            <w:tcW w:type="dxa" w:w="965"/>
          </w:tcPr>
          <w:p>
            <w:r/>
            <w:r>
              <w:rPr>
                <w:sz w:val="17"/>
              </w:rPr>
              <w:t>4.25e-01</w:t>
            </w:r>
          </w:p>
        </w:tc>
      </w:tr>
      <w:tr>
        <w:tc>
          <w:tcPr>
            <w:tcW w:type="dxa" w:w="965"/>
          </w:tcPr>
          <w:p>
            <w:r/>
            <w:r>
              <w:rPr>
                <w:sz w:val="17"/>
              </w:rPr>
              <w:t>Jupiter</w:t>
            </w:r>
          </w:p>
        </w:tc>
        <w:tc>
          <w:tcPr>
            <w:tcW w:type="dxa" w:w="965"/>
          </w:tcPr>
          <w:p>
            <w:r/>
            <w:r>
              <w:rPr>
                <w:sz w:val="17"/>
              </w:rPr>
              <w:t>0.7708</w:t>
            </w:r>
          </w:p>
        </w:tc>
        <w:tc>
          <w:tcPr>
            <w:tcW w:type="dxa" w:w="965"/>
          </w:tcPr>
          <w:p>
            <w:r/>
            <w:r>
              <w:rPr>
                <w:sz w:val="17"/>
              </w:rPr>
              <w:t>1.0000</w:t>
            </w:r>
          </w:p>
        </w:tc>
        <w:tc>
          <w:tcPr>
            <w:tcW w:type="dxa" w:w="965"/>
          </w:tcPr>
          <w:p>
            <w:r/>
            <w:r>
              <w:rPr>
                <w:sz w:val="17"/>
              </w:rPr>
              <w:t>4.78e-01</w:t>
            </w:r>
          </w:p>
        </w:tc>
        <w:tc>
          <w:tcPr>
            <w:tcW w:type="dxa" w:w="965"/>
          </w:tcPr>
          <w:p>
            <w:r/>
            <w:r>
              <w:rPr>
                <w:sz w:val="17"/>
              </w:rPr>
              <w:t>0.0763</w:t>
            </w:r>
          </w:p>
        </w:tc>
        <w:tc>
          <w:tcPr>
            <w:tcW w:type="dxa" w:w="965"/>
          </w:tcPr>
          <w:p>
            <w:r/>
            <w:r>
              <w:rPr>
                <w:sz w:val="17"/>
              </w:rPr>
              <w:t>1.0000</w:t>
            </w:r>
          </w:p>
        </w:tc>
        <w:tc>
          <w:tcPr>
            <w:tcW w:type="dxa" w:w="965"/>
          </w:tcPr>
          <w:p>
            <w:r/>
            <w:r>
              <w:rPr>
                <w:sz w:val="17"/>
              </w:rPr>
              <w:t>4.78e-01</w:t>
            </w:r>
          </w:p>
        </w:tc>
        <w:tc>
          <w:tcPr>
            <w:tcW w:type="dxa" w:w="965"/>
          </w:tcPr>
          <w:p>
            <w:r/>
            <w:r>
              <w:rPr>
                <w:sz w:val="17"/>
              </w:rPr>
              <w:t>0.0247</w:t>
            </w:r>
          </w:p>
        </w:tc>
        <w:tc>
          <w:tcPr>
            <w:tcW w:type="dxa" w:w="965"/>
          </w:tcPr>
          <w:p>
            <w:r/>
            <w:r>
              <w:rPr>
                <w:sz w:val="17"/>
              </w:rPr>
              <w:t>0.9997</w:t>
            </w:r>
          </w:p>
        </w:tc>
        <w:tc>
          <w:tcPr>
            <w:tcW w:type="dxa" w:w="965"/>
          </w:tcPr>
          <w:p>
            <w:r/>
            <w:r>
              <w:rPr>
                <w:sz w:val="17"/>
              </w:rPr>
              <w:t>4.75e-01</w:t>
            </w:r>
          </w:p>
        </w:tc>
      </w:tr>
    </w:tbl>
    <w:p>
      <w:pPr>
        <w:spacing w:after="40"/>
      </w:pPr>
    </w:p>
    <w:p>
      <w:pPr>
        <w:spacing w:after="160"/>
      </w:pPr>
      <w:r>
        <w:rPr>
          <w:i/>
          <w:sz w:val="17"/>
        </w:rPr>
        <w:t>Columns 2–4 per-timestep, 5–7 global, 8–10 grouped.</w:t>
      </w:r>
    </w:p>
    <w:p>
      <w:pPr>
        <w:jc w:val="both"/>
      </w:pPr>
      <w:r>
        <w:t>The decomposition is the first result. Pooling across timesteps within a single target compresses the signal by one to two orders of magnitude and yet the network still discriminates: it survives on 4 of 4 targets, losing at most a few thousandths of AUC. Pooling across a group is qualitatively different, and on Venus it is catastrophic — held-out output standard deviation 3.11e-05, meaning the network emits one number for every mission regardless of input, with AUC falling from 0.9999 to 0.6037.</w:t>
      </w:r>
    </w:p>
    <w:p>
      <w:pPr>
        <w:jc w:val="both"/>
      </w:pPr>
      <w:r>
        <w:t>The second result is that the collapse is selective, and we report this rather than only the case that fails. On the remaining 3 targets the same manipulation costs between 0.0003 and 0.0925 AUC and does not collapse the output. Severity does not follow the signal ratio alone: Jupiter's signal is compressed to 0.0247 — comparable to Mercury's — yet it loses almost nothing, because its task is separable enough that even a heavily attenuated signal suffices. Compression is necessary for the collapse but not sufficient; task difficulty modulates it. A predictive rule of the form 'collapse when the ratio falls below X' is therefore not supported by these data, and we do not claim one.</w:t>
      </w:r>
    </w:p>
    <w:p>
      <w:pPr>
        <w:jc w:val="both"/>
      </w:pPr>
      <w:r>
        <w:t>One scope note. This ablation isolates the normalisation factor alone: a separate model is trained per target and only the statistics are pooled. The production incident that motivated the study additionally shared one model across the group, which compounds the effect — a single trunk must then serve targets whose inputs have been flattened toward a common constant. The numbers here are therefore a lower bound on the damage the full configuration causes, and should be read as establishing that pooled normalisation is sufficient on its own to destroy a target, not as a reproduction of the original failure in its entirety.</w:t>
      </w:r>
    </w:p>
    <w:p>
      <w:pPr>
        <w:pStyle w:val="Heading2"/>
      </w:pPr>
      <w:r>
        <w:t>3.3  The baseline certifies the broken configuration</w:t>
      </w:r>
    </w:p>
    <w:p>
      <w:pPr>
        <w:spacing w:before="160" w:after="40"/>
      </w:pPr>
      <w:r>
        <w:rPr>
          <w:b/>
          <w:sz w:val="18"/>
        </w:rPr>
        <w:t>Table 2  XGBoost on the identical normalised window, under each condition. The tree is invariant to the preprocessing that destroys the network.</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r>
              <w:rPr>
                <w:b/>
                <w:sz w:val="17"/>
              </w:rPr>
              <w:t>Target</w:t>
            </w:r>
          </w:p>
        </w:tc>
        <w:tc>
          <w:tcPr>
            <w:tcW w:type="dxa" w:w="1930"/>
          </w:tcPr>
          <w:p>
            <w:r/>
            <w:r>
              <w:rPr>
                <w:b/>
                <w:sz w:val="17"/>
              </w:rPr>
              <w:t>per-timestep</w:t>
            </w:r>
          </w:p>
        </w:tc>
        <w:tc>
          <w:tcPr>
            <w:tcW w:type="dxa" w:w="1930"/>
          </w:tcPr>
          <w:p>
            <w:r/>
            <w:r>
              <w:rPr>
                <w:b/>
                <w:sz w:val="17"/>
              </w:rPr>
              <w:t>global</w:t>
            </w:r>
          </w:p>
        </w:tc>
        <w:tc>
          <w:tcPr>
            <w:tcW w:type="dxa" w:w="1930"/>
          </w:tcPr>
          <w:p>
            <w:r/>
            <w:r>
              <w:rPr>
                <w:b/>
                <w:sz w:val="17"/>
              </w:rPr>
              <w:t>grouped</w:t>
            </w:r>
          </w:p>
        </w:tc>
        <w:tc>
          <w:tcPr>
            <w:tcW w:type="dxa" w:w="1930"/>
          </w:tcPr>
          <w:p>
            <w:r/>
            <w:r>
              <w:rPr>
                <w:b/>
                <w:sz w:val="17"/>
              </w:rPr>
              <w:t>spread</w:t>
            </w:r>
          </w:p>
        </w:tc>
      </w:tr>
      <w:tr>
        <w:tc>
          <w:tcPr>
            <w:tcW w:type="dxa" w:w="1930"/>
          </w:tcPr>
          <w:p>
            <w:r/>
            <w:r>
              <w:rPr>
                <w:sz w:val="17"/>
              </w:rPr>
              <w:t>Venus</w:t>
            </w:r>
          </w:p>
        </w:tc>
        <w:tc>
          <w:tcPr>
            <w:tcW w:type="dxa" w:w="1930"/>
          </w:tcPr>
          <w:p>
            <w:r/>
            <w:r>
              <w:rPr>
                <w:sz w:val="17"/>
              </w:rPr>
              <w:t>1.0000</w:t>
            </w:r>
          </w:p>
        </w:tc>
        <w:tc>
          <w:tcPr>
            <w:tcW w:type="dxa" w:w="1930"/>
          </w:tcPr>
          <w:p>
            <w:r/>
            <w:r>
              <w:rPr>
                <w:sz w:val="17"/>
              </w:rPr>
              <w:t>1.0000</w:t>
            </w:r>
          </w:p>
        </w:tc>
        <w:tc>
          <w:tcPr>
            <w:tcW w:type="dxa" w:w="1930"/>
          </w:tcPr>
          <w:p>
            <w:r/>
            <w:r>
              <w:rPr>
                <w:sz w:val="17"/>
              </w:rPr>
              <w:t>1.0000</w:t>
            </w:r>
          </w:p>
        </w:tc>
        <w:tc>
          <w:tcPr>
            <w:tcW w:type="dxa" w:w="1930"/>
          </w:tcPr>
          <w:p>
            <w:r/>
            <w:r>
              <w:rPr>
                <w:sz w:val="17"/>
              </w:rPr>
              <w:t>0.0000</w:t>
            </w:r>
          </w:p>
        </w:tc>
      </w:tr>
      <w:tr>
        <w:tc>
          <w:tcPr>
            <w:tcW w:type="dxa" w:w="1930"/>
          </w:tcPr>
          <w:p>
            <w:r/>
            <w:r>
              <w:rPr>
                <w:sz w:val="17"/>
              </w:rPr>
              <w:t>Mars</w:t>
            </w:r>
          </w:p>
        </w:tc>
        <w:tc>
          <w:tcPr>
            <w:tcW w:type="dxa" w:w="1930"/>
          </w:tcPr>
          <w:p>
            <w:r/>
            <w:r>
              <w:rPr>
                <w:sz w:val="17"/>
              </w:rPr>
              <w:t>0.9996</w:t>
            </w:r>
          </w:p>
        </w:tc>
        <w:tc>
          <w:tcPr>
            <w:tcW w:type="dxa" w:w="1930"/>
          </w:tcPr>
          <w:p>
            <w:r/>
            <w:r>
              <w:rPr>
                <w:sz w:val="17"/>
              </w:rPr>
              <w:t>0.9998</w:t>
            </w:r>
          </w:p>
        </w:tc>
        <w:tc>
          <w:tcPr>
            <w:tcW w:type="dxa" w:w="1930"/>
          </w:tcPr>
          <w:p>
            <w:r/>
            <w:r>
              <w:rPr>
                <w:sz w:val="17"/>
              </w:rPr>
              <w:t>0.9998</w:t>
            </w:r>
          </w:p>
        </w:tc>
        <w:tc>
          <w:tcPr>
            <w:tcW w:type="dxa" w:w="1930"/>
          </w:tcPr>
          <w:p>
            <w:r/>
            <w:r>
              <w:rPr>
                <w:sz w:val="17"/>
              </w:rPr>
              <w:t>0.0002</w:t>
            </w:r>
          </w:p>
        </w:tc>
      </w:tr>
      <w:tr>
        <w:tc>
          <w:tcPr>
            <w:tcW w:type="dxa" w:w="1930"/>
          </w:tcPr>
          <w:p>
            <w:r/>
            <w:r>
              <w:rPr>
                <w:sz w:val="17"/>
              </w:rPr>
              <w:t>Mercury</w:t>
            </w:r>
          </w:p>
        </w:tc>
        <w:tc>
          <w:tcPr>
            <w:tcW w:type="dxa" w:w="1930"/>
          </w:tcPr>
          <w:p>
            <w:r/>
            <w:r>
              <w:rPr>
                <w:sz w:val="17"/>
              </w:rPr>
              <w:t>0.9997</w:t>
            </w:r>
          </w:p>
        </w:tc>
        <w:tc>
          <w:tcPr>
            <w:tcW w:type="dxa" w:w="1930"/>
          </w:tcPr>
          <w:p>
            <w:r/>
            <w:r>
              <w:rPr>
                <w:sz w:val="17"/>
              </w:rPr>
              <w:t>0.9998</w:t>
            </w:r>
          </w:p>
        </w:tc>
        <w:tc>
          <w:tcPr>
            <w:tcW w:type="dxa" w:w="1930"/>
          </w:tcPr>
          <w:p>
            <w:r/>
            <w:r>
              <w:rPr>
                <w:sz w:val="17"/>
              </w:rPr>
              <w:t>0.9998</w:t>
            </w:r>
          </w:p>
        </w:tc>
        <w:tc>
          <w:tcPr>
            <w:tcW w:type="dxa" w:w="1930"/>
          </w:tcPr>
          <w:p>
            <w:r/>
            <w:r>
              <w:rPr>
                <w:sz w:val="17"/>
              </w:rPr>
              <w:t>0.0001</w:t>
            </w:r>
          </w:p>
        </w:tc>
      </w:tr>
      <w:tr>
        <w:tc>
          <w:tcPr>
            <w:tcW w:type="dxa" w:w="1930"/>
          </w:tcPr>
          <w:p>
            <w:r/>
            <w:r>
              <w:rPr>
                <w:sz w:val="17"/>
              </w:rPr>
              <w:t>Jupiter</w:t>
            </w:r>
          </w:p>
        </w:tc>
        <w:tc>
          <w:tcPr>
            <w:tcW w:type="dxa" w:w="1930"/>
          </w:tcPr>
          <w:p>
            <w:r/>
            <w:r>
              <w:rPr>
                <w:sz w:val="17"/>
              </w:rPr>
              <w:t>1.0000</w:t>
            </w:r>
          </w:p>
        </w:tc>
        <w:tc>
          <w:tcPr>
            <w:tcW w:type="dxa" w:w="1930"/>
          </w:tcPr>
          <w:p>
            <w:r/>
            <w:r>
              <w:rPr>
                <w:sz w:val="17"/>
              </w:rPr>
              <w:t>1.0000</w:t>
            </w:r>
          </w:p>
        </w:tc>
        <w:tc>
          <w:tcPr>
            <w:tcW w:type="dxa" w:w="1930"/>
          </w:tcPr>
          <w:p>
            <w:r/>
            <w:r>
              <w:rPr>
                <w:sz w:val="17"/>
              </w:rPr>
              <w:t>1.0000</w:t>
            </w:r>
          </w:p>
        </w:tc>
        <w:tc>
          <w:tcPr>
            <w:tcW w:type="dxa" w:w="1930"/>
          </w:tcPr>
          <w:p>
            <w:r/>
            <w:r>
              <w:rPr>
                <w:sz w:val="17"/>
              </w:rPr>
              <w:t>0.0000</w:t>
            </w:r>
          </w:p>
        </w:tc>
      </w:tr>
    </w:tbl>
    <w:p>
      <w:pPr>
        <w:spacing w:after="40"/>
      </w:pPr>
    </w:p>
    <w:p>
      <w:pPr>
        <w:jc w:val="both"/>
      </w:pPr>
      <w:r>
        <w:t>Under the grouped condition the tree reports AUC 1.0000 on Venus — the target where the network collapses to a constant at AUC 0.6037. Across all targets the tree's AUC moves by at most 0.0002 between conditions, so the baseline is effectively blind to the choice. A practitioner who runs it to check whether the features carry signal — the standard and correct instinct — receives an unambiguous yes, and concludes the deep model needs tuning rather than that the pipeline is broken. That is the failure this paper is about: not that the collapse happens, but that the check designed to catch this class of problem cannot see it.</w:t>
      </w:r>
    </w:p>
    <w:p>
      <w:pPr>
        <w:jc w:val="both"/>
      </w:pPr>
      <w:r>
        <w:t>This is the methodological point. The baseline is not wrong: the information genuinely is present, and a tree genuinely can use it. The baseline is uninformative about the question actually being asked, which is whether the network can use it. Invariance to feature scaling — normally a reason to prefer trees as a diagnostic — is exactly what makes them blind here.</w:t>
      </w:r>
    </w:p>
    <w:p>
      <w:pPr>
        <w:pStyle w:val="Heading2"/>
      </w:pPr>
      <w:r>
        <w:t>3.4  A diagnostic that does catch it</w:t>
      </w:r>
    </w:p>
    <w:p>
      <w:pPr>
        <w:jc w:val="both"/>
      </w:pPr>
      <w:r>
        <w:t>Accuracy on a mixed validation set does not catch the collapse, because a per-group constant ranks groups correctly and a pooled metric rewards that. Two checks do:</w:t>
      </w:r>
    </w:p>
    <w:p>
      <w:pPr>
        <w:pStyle w:val="ListBullet"/>
      </w:pPr>
      <w:r>
        <w:t>Prediction variance within a group. A collapsed model has near-zero spread of its output across inputs. This is a property of the predictions alone — no labels required — and it separates collapse from ordinary underfitting, which produces wrong but varying predictions.</w:t>
      </w:r>
    </w:p>
    <w:p>
      <w:pPr>
        <w:pStyle w:val="ListBullet"/>
      </w:pPr>
      <w:r>
        <w:t>Tree-versus-network under identical preprocessing. A large gap in favour of the tree, with both fed the same array, indicates the network cannot exploit information that is present rather than that the information is absent.</w:t>
      </w:r>
    </w:p>
    <w:p>
      <w:pPr>
        <w:jc w:val="both"/>
      </w:pPr>
      <w:r>
        <w:t>Both are cheap and neither requires suspecting the specific defect in advance. We recommend reporting per-group prediction variance alongside aggregate metrics whenever a model is trained on grouped data with heterogeneous scales.</w:t>
      </w:r>
    </w:p>
    <w:p>
      <w:pPr>
        <w:pStyle w:val="Heading1"/>
      </w:pPr>
      <w:r>
        <w:t>4  Failure to Reach a Present Signal</w:t>
      </w:r>
    </w:p>
    <w:p>
      <w:pPr>
        <w:jc w:val="both"/>
      </w:pPr>
      <w:r>
        <w:t>A related failure appears with correct normalisation. On Uranus, the failure mode 'surface_impact' accounts for 91 of 4639 training failures. A tree fitted to the same normalised 40-step window separates that mode from success at AUC 1.0000. The sequence model's recall on it is 0.0000 at its operating point.</w:t>
      </w:r>
    </w:p>
    <w:p>
      <w:pPr>
        <w:spacing w:before="160" w:after="40"/>
      </w:pPr>
      <w:r>
        <w:rPr>
          <w:b/>
          <w:sz w:val="18"/>
        </w:rPr>
        <w:t>Table 3  Rare-mode oversampling sweep on Uranus. Increasing the sampling weight of the rare mode does not recover it.</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tcPr>
          <w:p>
            <w:r/>
            <w:r>
              <w:rPr>
                <w:b/>
                <w:sz w:val="17"/>
              </w:rPr>
              <w:t>mode_alpha</w:t>
            </w:r>
          </w:p>
        </w:tc>
        <w:tc>
          <w:tcPr>
            <w:tcW w:type="dxa" w:w="1930"/>
          </w:tcPr>
          <w:p>
            <w:r/>
            <w:r>
              <w:rPr>
                <w:b/>
                <w:sz w:val="17"/>
              </w:rPr>
              <w:t>effective resample</w:t>
            </w:r>
          </w:p>
        </w:tc>
        <w:tc>
          <w:tcPr>
            <w:tcW w:type="dxa" w:w="1930"/>
          </w:tcPr>
          <w:p>
            <w:r/>
            <w:r>
              <w:rPr>
                <w:b/>
                <w:sz w:val="17"/>
              </w:rPr>
              <w:t>test F1</w:t>
            </w:r>
          </w:p>
        </w:tc>
        <w:tc>
          <w:tcPr>
            <w:tcW w:type="dxa" w:w="1930"/>
          </w:tcPr>
          <w:p>
            <w:r/>
            <w:r>
              <w:rPr>
                <w:b/>
                <w:sz w:val="17"/>
              </w:rPr>
              <w:t>overall recall</w:t>
            </w:r>
          </w:p>
        </w:tc>
        <w:tc>
          <w:tcPr>
            <w:tcW w:type="dxa" w:w="1930"/>
          </w:tcPr>
          <w:p>
            <w:r/>
            <w:r>
              <w:rPr>
                <w:b/>
                <w:sz w:val="17"/>
              </w:rPr>
              <w:t>surface_impact recall</w:t>
            </w:r>
          </w:p>
        </w:tc>
      </w:tr>
      <w:tr>
        <w:tc>
          <w:tcPr>
            <w:tcW w:type="dxa" w:w="1930"/>
          </w:tcPr>
          <w:p>
            <w:r/>
            <w:r>
              <w:rPr>
                <w:sz w:val="17"/>
              </w:rPr>
              <w:t>0.00</w:t>
            </w:r>
          </w:p>
        </w:tc>
        <w:tc>
          <w:tcPr>
            <w:tcW w:type="dxa" w:w="1930"/>
          </w:tcPr>
          <w:p>
            <w:r/>
            <w:r>
              <w:rPr>
                <w:sz w:val="17"/>
              </w:rPr>
              <w:t>1.0x</w:t>
            </w:r>
          </w:p>
        </w:tc>
        <w:tc>
          <w:tcPr>
            <w:tcW w:type="dxa" w:w="1930"/>
          </w:tcPr>
          <w:p>
            <w:r/>
            <w:r>
              <w:rPr>
                <w:sz w:val="17"/>
              </w:rPr>
              <w:t>0.9938</w:t>
            </w:r>
          </w:p>
        </w:tc>
        <w:tc>
          <w:tcPr>
            <w:tcW w:type="dxa" w:w="1930"/>
          </w:tcPr>
          <w:p>
            <w:r/>
            <w:r>
              <w:rPr>
                <w:sz w:val="17"/>
              </w:rPr>
              <w:t>0.9877</w:t>
            </w:r>
          </w:p>
        </w:tc>
        <w:tc>
          <w:tcPr>
            <w:tcW w:type="dxa" w:w="1930"/>
          </w:tcPr>
          <w:p>
            <w:r/>
            <w:r>
              <w:rPr>
                <w:sz w:val="17"/>
              </w:rPr>
              <w:t>0.0000</w:t>
            </w:r>
          </w:p>
        </w:tc>
      </w:tr>
      <w:tr>
        <w:tc>
          <w:tcPr>
            <w:tcW w:type="dxa" w:w="1930"/>
          </w:tcPr>
          <w:p>
            <w:r/>
            <w:r>
              <w:rPr>
                <w:sz w:val="17"/>
              </w:rPr>
              <w:t>0.50</w:t>
            </w:r>
          </w:p>
        </w:tc>
        <w:tc>
          <w:tcPr>
            <w:tcW w:type="dxa" w:w="1930"/>
          </w:tcPr>
          <w:p>
            <w:r/>
            <w:r>
              <w:rPr>
                <w:sz w:val="17"/>
              </w:rPr>
              <w:t>5.1x</w:t>
            </w:r>
          </w:p>
        </w:tc>
        <w:tc>
          <w:tcPr>
            <w:tcW w:type="dxa" w:w="1930"/>
          </w:tcPr>
          <w:p>
            <w:r/>
            <w:r>
              <w:rPr>
                <w:sz w:val="17"/>
              </w:rPr>
              <w:t>0.9938</w:t>
            </w:r>
          </w:p>
        </w:tc>
        <w:tc>
          <w:tcPr>
            <w:tcW w:type="dxa" w:w="1930"/>
          </w:tcPr>
          <w:p>
            <w:r/>
            <w:r>
              <w:rPr>
                <w:sz w:val="17"/>
              </w:rPr>
              <w:t>0.9877</w:t>
            </w:r>
          </w:p>
        </w:tc>
        <w:tc>
          <w:tcPr>
            <w:tcW w:type="dxa" w:w="1930"/>
          </w:tcPr>
          <w:p>
            <w:r/>
            <w:r>
              <w:rPr>
                <w:sz w:val="17"/>
              </w:rPr>
              <w:t>0.0000</w:t>
            </w:r>
          </w:p>
        </w:tc>
      </w:tr>
      <w:tr>
        <w:tc>
          <w:tcPr>
            <w:tcW w:type="dxa" w:w="1930"/>
          </w:tcPr>
          <w:p>
            <w:r/>
            <w:r>
              <w:rPr>
                <w:sz w:val="17"/>
              </w:rPr>
              <w:t>1.00</w:t>
            </w:r>
          </w:p>
        </w:tc>
        <w:tc>
          <w:tcPr>
            <w:tcW w:type="dxa" w:w="1930"/>
          </w:tcPr>
          <w:p>
            <w:r/>
            <w:r>
              <w:rPr>
                <w:sz w:val="17"/>
              </w:rPr>
              <w:t>19.2x</w:t>
            </w:r>
          </w:p>
        </w:tc>
        <w:tc>
          <w:tcPr>
            <w:tcW w:type="dxa" w:w="1930"/>
          </w:tcPr>
          <w:p>
            <w:r/>
            <w:r>
              <w:rPr>
                <w:sz w:val="17"/>
              </w:rPr>
              <w:t>0.9938</w:t>
            </w:r>
          </w:p>
        </w:tc>
        <w:tc>
          <w:tcPr>
            <w:tcW w:type="dxa" w:w="1930"/>
          </w:tcPr>
          <w:p>
            <w:r/>
            <w:r>
              <w:rPr>
                <w:sz w:val="17"/>
              </w:rPr>
              <w:t>0.9877</w:t>
            </w:r>
          </w:p>
        </w:tc>
        <w:tc>
          <w:tcPr>
            <w:tcW w:type="dxa" w:w="1930"/>
          </w:tcPr>
          <w:p>
            <w:r/>
            <w:r>
              <w:rPr>
                <w:sz w:val="17"/>
              </w:rPr>
              <w:t>0.0000</w:t>
            </w:r>
          </w:p>
        </w:tc>
      </w:tr>
    </w:tbl>
    <w:p>
      <w:pPr>
        <w:spacing w:after="40"/>
      </w:pPr>
    </w:p>
    <w:p>
      <w:pPr>
        <w:jc w:val="both"/>
      </w:pPr>
      <w:r>
        <w:t>Because both models consume the same array and one of them separates the classes, the information is present and the sequence model's failure is an optimisation limit rather than an information limit. Resampling the mode does not close the gap, which rules out the simplest explanation. Whether the cause is the loss landscape, the pooling operator discarding a localised cue, or the binary head being dominated by the majority mode is open; probing the trunk for linear separability of the rare mode would localise it.</w:t>
      </w:r>
    </w:p>
    <w:p>
      <w:pPr>
        <w:pStyle w:val="Heading1"/>
      </w:pPr>
      <w:r>
        <w:t>5  Where the Screen Belongs</w:t>
      </w:r>
    </w:p>
    <w:p>
      <w:pPr>
        <w:spacing w:before="160" w:after="40"/>
      </w:pPr>
      <w:r>
        <w:rPr>
          <w:b/>
          <w:sz w:val="18"/>
        </w:rPr>
        <w:t>Table 4  Screening economics, compute charged in propagation-days across a ~100x per-target cost range. Thresholds fitted on validation and reported on the held-out split.</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tcPr>
          <w:p>
            <w:r/>
            <w:r>
              <w:rPr>
                <w:b/>
                <w:sz w:val="17"/>
              </w:rPr>
              <w:t>Screen</w:t>
            </w:r>
          </w:p>
        </w:tc>
        <w:tc>
          <w:tcPr>
            <w:tcW w:type="dxa" w:w="2412"/>
          </w:tcPr>
          <w:p>
            <w:r/>
            <w:r>
              <w:rPr>
                <w:b/>
                <w:sz w:val="17"/>
              </w:rPr>
              <w:t>Compute saved</w:t>
            </w:r>
          </w:p>
        </w:tc>
        <w:tc>
          <w:tcPr>
            <w:tcW w:type="dxa" w:w="2412"/>
          </w:tcPr>
          <w:p>
            <w:r/>
            <w:r>
              <w:rPr>
                <w:b/>
                <w:sz w:val="17"/>
              </w:rPr>
              <w:t>Good missions destroyed</w:t>
            </w:r>
          </w:p>
        </w:tc>
        <w:tc>
          <w:tcPr>
            <w:tcW w:type="dxa" w:w="2412"/>
          </w:tcPr>
          <w:p>
            <w:r/>
            <w:r>
              <w:rPr>
                <w:b/>
                <w:sz w:val="17"/>
              </w:rPr>
              <w:t>Failure recall</w:t>
            </w:r>
          </w:p>
        </w:tc>
      </w:tr>
      <w:tr>
        <w:tc>
          <w:tcPr>
            <w:tcW w:type="dxa" w:w="2412"/>
          </w:tcPr>
          <w:p>
            <w:r/>
            <w:r>
              <w:rPr>
                <w:b/>
                <w:sz w:val="17"/>
              </w:rPr>
              <w:t>T0 — six launch parameters, before propagating</w:t>
            </w:r>
          </w:p>
        </w:tc>
        <w:tc>
          <w:tcPr>
            <w:tcW w:type="dxa" w:w="2412"/>
          </w:tcPr>
          <w:p>
            <w:r/>
            <w:r>
              <w:rPr>
                <w:b/>
                <w:sz w:val="17"/>
              </w:rPr>
              <w:t>64.5%</w:t>
            </w:r>
          </w:p>
        </w:tc>
        <w:tc>
          <w:tcPr>
            <w:tcW w:type="dxa" w:w="2412"/>
          </w:tcPr>
          <w:p>
            <w:r/>
            <w:r>
              <w:rPr>
                <w:b/>
                <w:sz w:val="17"/>
              </w:rPr>
              <w:t>0.76%</w:t>
            </w:r>
          </w:p>
        </w:tc>
        <w:tc>
          <w:tcPr>
            <w:tcW w:type="dxa" w:w="2412"/>
          </w:tcPr>
          <w:p>
            <w:r/>
            <w:r>
              <w:rPr>
                <w:b/>
                <w:sz w:val="17"/>
              </w:rPr>
              <w:t>99.06%</w:t>
            </w:r>
          </w:p>
        </w:tc>
      </w:tr>
      <w:tr>
        <w:tc>
          <w:tcPr>
            <w:tcW w:type="dxa" w:w="2412"/>
          </w:tcPr>
          <w:p>
            <w:r/>
            <w:r>
              <w:rPr>
                <w:sz w:val="17"/>
              </w:rPr>
              <w:t>T40 — telemetry Transformer at 40%</w:t>
            </w:r>
          </w:p>
        </w:tc>
        <w:tc>
          <w:tcPr>
            <w:tcW w:type="dxa" w:w="2412"/>
          </w:tcPr>
          <w:p>
            <w:r/>
            <w:r>
              <w:rPr>
                <w:sz w:val="17"/>
              </w:rPr>
              <w:t>38.3%</w:t>
            </w:r>
          </w:p>
        </w:tc>
        <w:tc>
          <w:tcPr>
            <w:tcW w:type="dxa" w:w="2412"/>
          </w:tcPr>
          <w:p>
            <w:r/>
            <w:r>
              <w:rPr>
                <w:sz w:val="17"/>
              </w:rPr>
              <w:t>0.21%</w:t>
            </w:r>
          </w:p>
        </w:tc>
        <w:tc>
          <w:tcPr>
            <w:tcW w:type="dxa" w:w="2412"/>
          </w:tcPr>
          <w:p>
            <w:r/>
            <w:r>
              <w:rPr>
                <w:sz w:val="17"/>
              </w:rPr>
              <w:t>98.87%</w:t>
            </w:r>
          </w:p>
        </w:tc>
      </w:tr>
      <w:tr>
        <w:tc>
          <w:tcPr>
            <w:tcW w:type="dxa" w:w="2412"/>
          </w:tcPr>
          <w:p>
            <w:r/>
            <w:r>
              <w:rPr>
                <w:sz w:val="17"/>
              </w:rPr>
              <w:t>Cascade — T0 where confident, else T40</w:t>
            </w:r>
          </w:p>
        </w:tc>
        <w:tc>
          <w:tcPr>
            <w:tcW w:type="dxa" w:w="2412"/>
          </w:tcPr>
          <w:p>
            <w:r/>
            <w:r>
              <w:rPr>
                <w:sz w:val="17"/>
              </w:rPr>
              <w:t>65.0%</w:t>
            </w:r>
          </w:p>
        </w:tc>
        <w:tc>
          <w:tcPr>
            <w:tcW w:type="dxa" w:w="2412"/>
          </w:tcPr>
          <w:p>
            <w:r/>
            <w:r>
              <w:rPr>
                <w:sz w:val="17"/>
              </w:rPr>
              <w:t>1.62%</w:t>
            </w:r>
          </w:p>
        </w:tc>
        <w:tc>
          <w:tcPr>
            <w:tcW w:type="dxa" w:w="2412"/>
          </w:tcPr>
          <w:p>
            <w:r/>
            <w:r>
              <w:rPr>
                <w:sz w:val="17"/>
              </w:rPr>
              <w:t>99.94%</w:t>
            </w:r>
          </w:p>
        </w:tc>
      </w:tr>
    </w:tbl>
    <w:p>
      <w:pPr>
        <w:spacing w:after="40"/>
      </w:pPr>
    </w:p>
    <w:p>
      <w:pPr>
        <w:jc w:val="both"/>
      </w:pPr>
      <w:r>
        <w:t>Having fixed the sequence model, the honest conclusion is that it should not be used. A six-feature classifier over the injection parameters, evaluated before any propagation happens, saves 64.5% of compute against the telemetry model's 38.3%, at a comparable cost in good missions destroyed. Accuracy is also flat from 10% to 40% observed. The reason is structural: the simulator is deterministic, so the outcome is a fixed function of the injection offsets and the trajectory is their integral. It cannot carry information the parameters do not already have.</w:t>
      </w:r>
    </w:p>
    <w:p>
      <w:pPr>
        <w:jc w:val="both"/>
      </w:pPr>
      <w:r>
        <w:t>We report this because it bounds the practical significance of Sections 3 and 4. The methodological findings concern any grouped sequence-modelling pipeline; the application that motivated them turns out not to need a sequence model. Logistic regression on the same six features scores at chance, so the task does require a nonlinear learner — just not a temporal one. A sequential screen earns its place only where the outcome is not determined at injection: mid-flight stochasticity, unmodelled dynamics, sensor noise, or campaigns where launch parameters are not recorded.</w:t>
      </w:r>
    </w:p>
    <w:p>
      <w:pPr>
        <w:pStyle w:val="Heading1"/>
      </w:pPr>
      <w:r>
        <w:t>6  Limitations</w:t>
      </w:r>
    </w:p>
    <w:p>
      <w:pPr>
        <w:pStyle w:val="ListBullet"/>
      </w:pPr>
      <w:r>
        <w:t>Single seed. Every result is one run at seed 42. The split is deterministic in (n, seed) so the numbers reproduce exactly, which is reproducibility, not stability. No confidence intervals are claimed.</w:t>
      </w:r>
    </w:p>
    <w:p>
      <w:pPr>
        <w:pStyle w:val="ListBullet"/>
      </w:pPr>
      <w:r>
        <w:t>One domain. The collapse is demonstrated on one corpus. We characterise the mechanism in terms of a variance ratio that is not specific to astrodynamics, but we have not reproduced it on a second dataset, and until we do the predictive rule — collapse when the ratio exceeds some threshold — remains a conjecture.</w:t>
      </w:r>
    </w:p>
    <w:p>
      <w:pPr>
        <w:pStyle w:val="ListBullet"/>
      </w:pPr>
      <w:r>
        <w:t>Synthetic and deterministic. No execution error, unmodelled accelerations or sensor noise, and every mission of a target shares a time base. That shared time base is what makes per-timestep standardisation work at all, and it is a property of the generator rather than of real campaigns.</w:t>
      </w:r>
    </w:p>
    <w:p>
      <w:pPr>
        <w:pStyle w:val="ListBullet"/>
      </w:pPr>
      <w:r>
        <w:t>Seven targets. An eighth (the Moon) was generated and is excluded by decision: it is a short Earth-centric transfer sharing neither the cost structure of Section 5 nor the dynamical regime.</w:t>
      </w:r>
    </w:p>
    <w:p>
      <w:pPr>
        <w:pStyle w:val="ListBullet"/>
      </w:pPr>
      <w:r>
        <w:t>No real mission data.</w:t>
      </w:r>
    </w:p>
    <w:p>
      <w:pPr>
        <w:pStyle w:val="Heading1"/>
      </w:pPr>
      <w:r>
        <w:t>7  Related Work</w:t>
      </w:r>
    </w:p>
    <w:p>
      <w:pPr>
        <w:jc w:val="both"/>
      </w:pPr>
      <w:r>
        <w:t>[TO WRITE — see docs/paper/PAPER_NOTES.md. This section cannot be generated from the repository and needs a literature pass: normalisation and feature scaling in deep learning; per-group and per-instance normalisation; shortcut learning and Clever-Hans effects; the tabular-versus-deep literature on why trees remain strong; class-imbalance and rare-class recall; surrogate modelling and learned early termination for simulation.]</w:t>
      </w:r>
    </w:p>
    <w:p>
      <w:pPr>
        <w:pStyle w:val="Heading1"/>
      </w:pPr>
      <w:r>
        <w:t>8  Conclusion</w:t>
      </w:r>
    </w:p>
    <w:p>
      <w:pPr>
        <w:jc w:val="both"/>
      </w:pPr>
      <w:r>
        <w:t>Sharing a feature scaler across heterogeneous groups can reduce a deep model to a per-group constant while a tree on the identical arrays reports the task as solved. The failure is not exotic, the preprocessing choice that causes it is routine, and the standard defence against it — check a simple baseline — is invariant to it by construction. Reporting per-group prediction variance alongside aggregate metrics costs nothing and would have caught it immediately.</w:t>
      </w:r>
    </w:p>
    <w:p>
      <w:pPr>
        <w:pStyle w:val="Heading1"/>
      </w:pPr>
      <w:r>
        <w:t>Reproduction</w:t>
      </w:r>
    </w:p>
    <w:p>
      <w:pPr>
        <w:spacing w:before="80" w:after="120"/>
        <w:ind w:left="360"/>
      </w:pPr>
      <w:r>
        <w:rPr>
          <w:rFonts w:ascii="Consolas" w:hAnsi="Consolas"/>
          <w:sz w:val="17"/>
        </w:rPr>
        <w:t>export ORBITGUARD_DATA=/path/to/dataset</w:t>
        <w:br/>
        <w:t>python -m src.ml.norm_ablation          # Table 1</w:t>
        <w:br/>
        <w:t>python -m src.ml.baseline_invariance    # Table 2</w:t>
        <w:br/>
        <w:t>python -m src.ml.rare_mode_sweep        # Table 3</w:t>
        <w:br/>
        <w:t>python -m src.ml.prune_economics        # Table 4</w:t>
        <w:br/>
        <w:t>python docs/paper/build_paper.py        # this document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Times New Roman" w:hAnsi="Times New Roman"/>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