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NEXCORE SOFTWARE SOLUTIONS PVT. LTD.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4B5"/>
          <w:sz w:val="19"/>
          <w:szCs w:val="19"/>
        </w:rPr>
        <w:t xml:space="preserve">Enterprise Software  |  ERP Solutions  |  Digital Manufacturing</w:t>
      </w:r>
    </w:p>
    <w:p>
      <w:pPr>
        <w:pBdr>
          <w:bottom w:val="single" w:color="1F3864" w:sz="8"/>
        </w:pBdr>
        <w:spacing w:after="200"/>
        <w:jc w:val="center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No. 42, 2nd Floor, Udyog Vihar, Peenya Industrial Area, Bengaluru – 560058  |  info@nexcoresolutions.in  |  +91 98450 00042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COMMERCIAL QUOTATION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To,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M/s. MEKHOS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Kind Attn: The Management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Quotation No.: NCS/QTN/2026-27/014</w:t>
            </w:r>
          </w:p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Date: 23 August 2026</w:t>
            </w:r>
          </w:p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Validity: 30 days from date of issue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Subject: Quotation for the design, development and implementation of a custom ERP system for Mekhos.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Dear Sir / Madam,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Thank you for sharing your ERP requirement document and process flow presentation. We have studied your end-to-end process — from Item Master, PR and Purchase Order through GRN, SCN, Material Issue, Sub-contracting, Production, Dispatch DC and Reports — along with the current pain points you have highlighted (item duplication, item continuity, PR/PO re-opening, save reliability, slow reports and year-change handling). We are pleased to submit our proposal as under.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Scope of Work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A web-based ERP application covering the following modules, accessible on desktop and mobile browsers, with role-based access control and online approvals: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40"/>
        <w:gridCol w:w="67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covered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project status (open / completed on DC &amp; invoice), total PO pending — category-wise and value-wise, line items pending project-wise, overdue items.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Masters &amp; Administration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Master, User Rights (role-based permissions matrix), Authority Manager (threshold-based approvals), Item / Category / UOM / Stores masters, Material &amp; Item Master with a single item-code policy and 100% duplicate prevention (pop-up alert with merge option), BOM &amp; Process Master (multi-level), Customer &amp; Vendor Master (GSTIN, bank details), Machine Master, Company Details, and bulk master upload from Excel.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/ BOM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Multi-level BOM with raw-material estimation, item continuity enforced end-to-end (same item code through the full process chain), last purchase price and current stock displayed at BOM and PR stages.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 / Project (Cost Center)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creation with team member and manager assignment (with mobile numbers), project-wise pop-up messaging (incl. GRN-time alerts), cost-center linkage.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Purchase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creation with line-item and quantity-wise deletion of pending balances, PO — direct / multiple / sub-contract type (changeable category after PO), PO inward, sending enquiries directly from the ERP with cost comparison and final-price history, authorization workflow with status tracking (Completed / Authorized), PO Status visibility.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PO-based and DC-based GRN (invoice entered later), PO price modification until invoice entry with GRN lock, multiple invoice numbers in one GRN, multiple GRNs at a time, common UI for regular and sub-contract GRN.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SCN (Quality)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SCN at a time with interlock so only accepted parts move to stock, rework parts re-acceptance even when other parts are already issued, SCN Rejection reporting, sub-contract SCN from the same UI, Tool Crib issue / return with reports.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Inventory &amp; Stores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position, STN (addition), MIN (reduction), inter-stock transfer with improved accessibility, stock check, consolidated single-line inventory (no duplicate line items).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Sub-contract Management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Sub-contract PO / JO, material transfer to subcontractor generating Stock Entry with printable Delivery Challan, exploded BOM pulled into the dispatch layout, sub-contract DC / PO / GRN / SCN on one common UI.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Production &amp; Planning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Order — project &gt; category &gt; multi-station consolidated JO with material availability and completed / pending segregation; Production Material Issue by JO number or clubbed across multiple JOs; Assembly GRN / SCN; Job Card; Project Master.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Dispatch &amp; DC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Outward DC with RGP / NRGP and single-level online approval (mobile-enabled), free-text or item-panel descriptions without item-master entry, Customer DC inward with status check, GL Item DC, RGP pending tracking, full DC history.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Reports (MIS)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BOM, PO pending, PR pending, Vendor rating &amp; performance, SCN rejection, GRN pending, Stock analysis / ledger, Material stock at vendor, Item history, Job order pending, GL items pending, DC pending, Cost-center analysis, Project-wise expenses &amp; material analysis, PR-to-SCN consolidated status, general ledger and search — optimized for fast response.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Resolution of Current Issues (Committed)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Item duplication prevented 100% at master level, with duplicate-check pop-up and merge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Item continuity — the same item code flows from PR to process end with no de-linking.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PO-to-PR re-opening eliminated; transaction save reliability ensured (no missing PR items / SCN entries under concurrent use).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Material issue clubbing across multiple Job Orders; inventory lines consolidated.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Common UI for sub-contract DC / PO / GRN / SCN.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Smooth financial-year change and fast, accurate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 navigation available on every page; full backup with duplicate checking.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Commercials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Total value for the complete scope described above: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40"/>
        <w:gridCol w:w="2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 study, process mapping &amp; system design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Masters &amp; Administration (users, rights, authority, items, BOM, vendors)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 &amp; Procurement (PR, PO, PO inward, GRN, SCN, authorization)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1,60,000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&amp; Stores (stock position, STN / MIN, inter-stock transfer, tool crib)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Sub-contract Management (DC, PO, GRN, SCN — common UI)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&amp; Planning (Job Order, PMI, Assembly GRN / SCN, Job Card)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Dispatch &amp; DC (Outward DC, RGP / NRGP approval, Customer DC inward, GL DC)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&amp; MIS Reports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migration, UAT support, user training &amp; go-live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PROJECT VALUE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₹ 8,00,000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(Rupees Eight Lakhs Only)</w:t>
      </w:r>
    </w:p>
    <w:p>
      <w:pPr>
        <w:spacing w:after="160" w:before="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Prices are exclusive of GST, which will be charged extra at the prevailing rate (currently 18%).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Payment Schedule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1500"/>
        <w:gridCol w:w="2100"/>
      </w:tblGrid>
      <w:tr>
        <w:trPr>
          <w:tblHeader/>
        </w:trPr>
        <w:tc>
          <w:tcPr>
            <w:tcW w:type="dxa" w:w="6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</w:tr>
      <w:tr>
        <w:tc>
          <w:tcPr>
            <w:tcW w:type="dxa" w:w="6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 with confirmed purchase order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2,40,000</w:t>
            </w:r>
          </w:p>
        </w:tc>
      </w:tr>
      <w:tr>
        <w:tc>
          <w:tcPr>
            <w:tcW w:type="dxa" w:w="6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completion of Masters, Purchase &amp; Inventory modules (staging demo)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2,40,000</w:t>
            </w:r>
          </w:p>
        </w:tc>
      </w:tr>
      <w:tr>
        <w:tc>
          <w:tcPr>
            <w:tcW w:type="dxa" w:w="6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completion of all modules and start of UAT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2,40,000</w:t>
            </w:r>
          </w:p>
        </w:tc>
      </w:tr>
      <w:tr>
        <w:tc>
          <w:tcPr>
            <w:tcW w:type="dxa" w:w="6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go-live sign-off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80,000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Delivery Timeline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Estimated overall duration: 28 weeks from purchase order and receipt of advance.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40"/>
        <w:gridCol w:w="2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 study, process mapping &amp; system design sign-off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 1 – 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Masters, Administration &amp; Design/BOM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 5 – 9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Purchase, GRN, SCN &amp; Authorization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 10 – 15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Inventory, Sub-contract, Production &amp; Planning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 16 – 21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Dispatch/DC, Dashboard &amp; Reports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 22 – 24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migration, UAT, training &amp; go-live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 25 – 28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Inclusions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Requirement study and process-mapping workshops with your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Design, development, testing and deployment of all modules listed in the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Migration of existing master data (items, vendors, customers, BOM) from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 training (up to 3 sessions) and user manuals.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 months of free post-go-live support (bug fixes and assistance).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Server hardware / cloud hosting charges and third-party software licenses (billed at actuals).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Requirements beyond the scope listed above (quoted separately as change requests).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On-site deputation beyond the agreed training and go-live visits.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Terms &amp;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This quotation is valid for 30 days from the date of issue.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scope freeze happens at design sign-off; changes thereafter follow a change-request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Source code and deployment will be handed over on receipt of full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Support beyond the free 6-month period can be covered under an AMC, quoted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disputes are subject to Bengaluru jurisdiction.</w:t>
      </w:r>
    </w:p>
    <w:p>
      <w:pPr>
        <w:spacing w:after="300" w:before="200"/>
      </w:pPr>
      <w:r>
        <w:rPr>
          <w:rFonts w:ascii="Calibri" w:cs="Calibri" w:eastAsia="Calibri" w:hAnsi="Calibri"/>
          <w:sz w:val="21"/>
          <w:szCs w:val="21"/>
        </w:rPr>
        <w:t xml:space="preserve">We look forward to partnering with Mekhos on this implementation. Kindly issue your purchase order in favour of NexCore Software Solutions Pvt. Ltd. to commence the engagement.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Yours faithfully,</w:t>
      </w:r>
    </w:p>
    <w:p>
      <w:pPr>
        <w:spacing w:after="5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 NexCore Software Solutions Pvt. Ltd.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Authorised Signatory</w:t>
      </w:r>
    </w:p>
    <w:p>
      <w:pPr>
        <w:spacing w:after="0" w:before="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Kumar A. G.  |  Director – Delivery</w:t>
      </w:r>
    </w:p>
    <w:sectPr>
      <w:pgSz w:w="11906" w:h="16838" w:orient="portrait"/>
      <w:pgMar w:top="1000" w:right="1133" w:bottom="100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2026-08-23T02:27:32.492Z</dcterms:created>
  <dcterms:modified xsi:type="dcterms:W3CDTF">2026-08-23T02:27:32.492Z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