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NEXT GENERATION SOFTWARE SOLUTIONS PVT. LTD.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2E74B5"/>
          <w:sz w:val="19"/>
          <w:szCs w:val="19"/>
        </w:rPr>
        <w:t xml:space="preserve">Enterprise Software  |  ERP Solutions  |  Digital Manufacturing</w:t>
      </w:r>
    </w:p>
    <w:p>
      <w:pPr>
        <w:pBdr>
          <w:bottom w:val="single" w:color="1F3864" w:sz="8"/>
        </w:pBdr>
        <w:spacing w:after="200"/>
        <w:jc w:val="center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No. 42, 2nd Floor, Udyog Vihar, Peenya Industrial Area, Bengaluru – 560058  |  info@nextgensoftware.in  |  +91 98450 00042</w:t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COMMERCIAL QUOTATION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To,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M/s. MEKHOS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Kind Attn: The Management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Quotation No.: NGS/QTN/2026-27/014</w:t>
            </w:r>
          </w:p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Date: 23 August 2026</w:t>
            </w:r>
          </w:p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Validity: 30 days from date of issue</w:t>
            </w:r>
          </w:p>
        </w:tc>
      </w:tr>
    </w:tbl>
    <w:p>
      <w:pPr>
        <w:spacing w:after="16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Subject: Quotation for the design, development and implementation of a custom ERP system for Mekhos.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Dear Sir / Madam,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Thank you for sharing your ERP requirement document and process flow presentation. We have studied your end-to-end process — from Item Master, PR and Purchase Order through GRN, SCN, Material Issue, Sub-contracting, Production, Dispatch DC and Reports — along with the current pain points you have highlighted (item duplication, item continuity, PR/PO re-opening, save reliability, slow reports and year-change handling). We are pleased to submit our proposal as under.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Scope of Work</w:t>
      </w:r>
    </w:p>
    <w:p>
      <w:pPr>
        <w:spacing w:after="140" w:before="0"/>
      </w:pPr>
      <w:r>
        <w:rPr>
          <w:rFonts w:ascii="Calibri" w:cs="Calibri" w:eastAsia="Calibri" w:hAnsi="Calibri"/>
          <w:sz w:val="21"/>
          <w:szCs w:val="21"/>
        </w:rPr>
        <w:t xml:space="preserve">A web-based ERP application covering the following modules, accessible on desktop and mobile browsers, with role-based access control and online approvals: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40"/>
        <w:gridCol w:w="67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 covered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Live project status (open / completed on DC &amp; invoice), total PO pending — category-wise and value-wise, line items pending project-wise, overdue items.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Masters &amp; Administration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Master, User Rights (role-based permissions matrix), Authority Manager (threshold-based approvals), Item / Category / UOM / Stores masters, Material &amp; Item Master with a single item-code policy and 100% duplicate prevention (pop-up alert with merge option), BOM &amp; Process Master (multi-level), Customer &amp; Vendor Master (GSTIN, bank details), Machine Master, Company Details, and bulk master upload from Excel.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Design / BOM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Multi-level BOM with raw-material estimation, item continuity enforced end-to-end (same item code through the full process chain), last purchase price and current stock displayed at BOM and PR stages.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/ Project (Cost Center)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creation with team member and manager assignment (with mobile numbers), project-wise pop-up messaging (incl. GRN-time alerts), cost-center linkage.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Purchase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creation with line-item and quantity-wise deletion of pending balances, PO — direct / multiple / sub-contract type (changeable category after PO), PO inward, sending enquiries directly from the ERP with cost comparison and final-price history, authorization workflow with status tracking (Completed / Authorized), PO Status visibility.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GRN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PO-based and DC-based GRN (invoice entered later), PO price modification until invoice entry with GRN lock, multiple invoice numbers in one GRN, multiple GRNs at a time, common UI for regular and sub-contract GRN.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SCN (Quality)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Multiple SCN at a time with interlock so only accepted parts move to stock, rework parts re-acceptance even when other parts are already issued, SCN Rejection reporting, sub-contract SCN from the same UI, Tool Crib issue / return with reports.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Inventory &amp; Stores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position, STN (addition), MIN (reduction), inter-stock transfer with improved accessibility, stock check, consolidated single-line inventory (no duplicate line items).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Sub-contract Management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Sub-contract PO / JO, material transfer to subcontractor generating Stock Entry with printable Delivery Challan, exploded BOM pulled into the dispatch layout, sub-contract DC / PO / GRN / SCN on one common UI.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Production &amp; Planning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 Order — project &gt; category &gt; multi-station consolidated JO with material availability and completed / pending segregation; Production Material Issue by JO number or clubbed across multiple JOs; Assembly GRN / SCN; Job Card; Project Master.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Dispatch &amp; DC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Outward DC with RGP / NRGP and single-level online approval (mobile-enabled), free-text or item-panel descriptions without item-master entry, Customer DC inward with status check, GL Item DC, RGP pending tracking, full DC history.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Reports (MIS)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BOM, PO pending, PR pending, Vendor rating &amp; performance, SCN rejection, GRN pending, Stock analysis / ledger, Material stock at vendor, Item history, Job order pending, GL items pending, DC pending, Cost-center analysis, Project-wise expenses &amp; material analysis, PR-to-SCN consolidated status, general ledger and search — optimized for fast response.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Resolution of Current Issues (Committed)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Item duplication prevented 100% at master level, with duplicate-check pop-up and merge option.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Item continuity — the same item code flows from PR to process end with no de-linking.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PO-to-PR re-opening eliminated; transaction save reliability ensured (no missing PR items / SCN entries under concurrent use).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Material issue clubbing across multiple Job Orders; inventory lines consolidated.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Common UI for sub-contract DC / PO / GRN / SCN.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Smooth financial-year change and fast, accurate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Back navigation available on every page; full backup with duplicate checking.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Commercials</w:t>
      </w:r>
    </w:p>
    <w:p>
      <w:pPr>
        <w:spacing w:after="140" w:before="0"/>
      </w:pPr>
      <w:r>
        <w:rPr>
          <w:rFonts w:ascii="Calibri" w:cs="Calibri" w:eastAsia="Calibri" w:hAnsi="Calibri"/>
          <w:sz w:val="21"/>
          <w:szCs w:val="21"/>
        </w:rPr>
        <w:t xml:space="preserve">Total value for the complete scope described above: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940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(INR)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Requirement study, process mapping &amp; system design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Masters &amp; Administration (users, rights, authority, items, BOM, vendors)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Purchase &amp; Procurement (PR, PO, PO inward, GRN, SCN, authorization)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1,60,000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 &amp; Stores (stock position, STN / MIN, inter-stock transfer, tool crib)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Sub-contract Management (DC, PO, GRN, SCN — common UI)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Production &amp; Planning (Job Order, PMI, Assembly GRN / SCN, Job Card)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 &amp; DC (Outward DC, RGP / NRGP approval, Customer DC inward, GL DC)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&amp; MIS Reports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migration, UAT support, user training &amp; go-live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80,000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TOTAL PROJECT VALUE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₹ 8,00,000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(Rupees Eight Lakhs Only)</w:t>
      </w:r>
    </w:p>
    <w:p>
      <w:pPr>
        <w:spacing w:after="160" w:before="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Prices are exclusive of GST, which will be charged extra at the prevailing rate (currently 18%).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Payment Schedule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0"/>
        <w:gridCol w:w="1500"/>
        <w:gridCol w:w="2100"/>
      </w:tblGrid>
      <w:tr>
        <w:trPr>
          <w:tblHeader/>
        </w:trPr>
        <w:tc>
          <w:tcPr>
            <w:tcW w:type="dxa" w:w="6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Share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(INR)</w:t>
            </w:r>
          </w:p>
        </w:tc>
      </w:tr>
      <w:tr>
        <w:tc>
          <w:tcPr>
            <w:tcW w:type="dxa" w:w="6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Advance with confirmed purchase order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2,40,000</w:t>
            </w:r>
          </w:p>
        </w:tc>
      </w:tr>
      <w:tr>
        <w:tc>
          <w:tcPr>
            <w:tcW w:type="dxa" w:w="6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completion of Foundation and Core modules (staging demo)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2,40,000</w:t>
            </w:r>
          </w:p>
        </w:tc>
      </w:tr>
      <w:tr>
        <w:tc>
          <w:tcPr>
            <w:tcW w:type="dxa" w:w="6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completion of all modules and start of UAT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2,40,000</w:t>
            </w:r>
          </w:p>
        </w:tc>
      </w:tr>
      <w:tr>
        <w:tc>
          <w:tcPr>
            <w:tcW w:type="dxa" w:w="6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go-live sign-off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80,000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Delivery Timeline</w:t>
      </w:r>
    </w:p>
    <w:p>
      <w:pPr>
        <w:spacing w:after="140" w:before="0"/>
      </w:pPr>
      <w:r>
        <w:rPr>
          <w:rFonts w:ascii="Calibri" w:cs="Calibri" w:eastAsia="Calibri" w:hAnsi="Calibri"/>
          <w:sz w:val="21"/>
          <w:szCs w:val="21"/>
        </w:rPr>
        <w:t xml:space="preserve">Estimated overall duration: 44 weeks (approximately 10 months) from purchase order and receipt of advance, phased as below.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14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Schedule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Foundation — requirement sign-off, system architecture, security, application shell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Weeks 1 – 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2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 modules — Masters, Design/BOM, Purchase, GRN, SCN, Inventory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Weeks 9 – 22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3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Advanced modules — Sub-contract, Production &amp; Planning, Dispatch/DC, Dashboard &amp; Reports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Weeks 23 – 38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4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Hardening &amp; QA (runs in parallel with Phases 2–3)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Weeks 33 – 40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5</w:t>
            </w:r>
          </w:p>
        </w:tc>
        <w:tc>
          <w:tcPr>
            <w:tcW w:type="dxa" w:w="6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migration, UAT, training &amp; go-live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Weeks 39 – 44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Inclusions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Requirement study and process-mapping workshops with your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Design, development, testing and deployment of all modules listed in the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Migration of existing master data (items, vendors, customers, BOM) from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User training (up to 3 sessions) and user manuals.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6 months of free post-go-live support (bug fixes and assistance).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Exclusions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Server hardware / cloud hosting charges and third-party software licenses (billed at actuals).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Requirements beyond the scope listed above (quoted separately as change requests).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On-site deputation beyond the agreed training and go-live visits.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Terms &amp; Conditions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This quotation is valid for 30 days from the date of issue.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scope freeze happens at design sign-off; changes thereafter follow a change-request process.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Source code and deployment will be handed over on receipt of full payment.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Support beyond the free 6-month period can be covered under an AMC, quoted separately.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All disputes are subject to Bengaluru jurisdiction.</w:t>
      </w:r>
    </w:p>
    <w:p>
      <w:pPr>
        <w:spacing w:after="300" w:before="200"/>
      </w:pPr>
      <w:r>
        <w:rPr>
          <w:rFonts w:ascii="Calibri" w:cs="Calibri" w:eastAsia="Calibri" w:hAnsi="Calibri"/>
          <w:sz w:val="21"/>
          <w:szCs w:val="21"/>
        </w:rPr>
        <w:t xml:space="preserve">We look forward to partnering with Mekhos on this implementation. Kindly issue your purchase order in favour of Next Generation Software Solutions Pvt. Ltd. to commence the engagement.</w:t>
      </w:r>
    </w:p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Yours faithfully,</w:t>
      </w:r>
    </w:p>
    <w:p>
      <w:pPr>
        <w:spacing w:after="50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 Next Generation Software Solutions Pvt. Ltd.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Authorised Signatory</w:t>
      </w:r>
    </w:p>
    <w:p>
      <w:pPr>
        <w:spacing w:after="0" w:before="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Kumar A. G.  |  Director – Delivery</w:t>
      </w:r>
    </w:p>
    <w:sectPr>
      <w:pgSz w:w="11906" w:h="16838" w:orient="portrait"/>
      <w:pgMar w:top="1000" w:right="1133" w:bottom="100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2026-08-23T02:44:11.460Z</dcterms:created>
  <dcterms:modified xsi:type="dcterms:W3CDTF">2026-08-23T02:44:11.474Z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