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8"/>
          <w:szCs w:val="38"/>
        </w:rPr>
        <w:t xml:space="preserve">NEXTMIND SOFTWARE SOLUTIONS</w:t>
      </w:r>
    </w:p>
    <w:p>
      <w:pPr>
        <w:spacing w:after="40"/>
        <w:jc w:val="center"/>
      </w:pPr>
      <w:r>
        <w:rPr>
          <w:rFonts w:ascii="Calibri" w:cs="Calibri" w:eastAsia="Calibri" w:hAnsi="Calibri"/>
          <w:color w:val="2E74B5"/>
          <w:sz w:val="19"/>
          <w:szCs w:val="19"/>
        </w:rPr>
        <w:t xml:space="preserve">Proprietor: Prakash A.  |  Enterprise Software  |  ERP Solutions  |  Digital Manufacturing</w:t>
      </w:r>
    </w:p>
    <w:p>
      <w:pPr>
        <w:pBdr>
          <w:bottom w:val="single" w:color="1F3864" w:sz="8"/>
        </w:pBdr>
        <w:spacing w:after="200"/>
        <w:jc w:val="center"/>
      </w:pPr>
      <w:r>
        <w:rPr>
          <w:rFonts w:ascii="Calibri" w:cs="Calibri" w:eastAsia="Calibri" w:hAnsi="Calibri"/>
          <w:color w:val="666666"/>
          <w:sz w:val="17"/>
          <w:szCs w:val="17"/>
        </w:rPr>
        <w:t xml:space="preserve">info@nextmindsoftware.in</w:t>
      </w:r>
    </w:p>
    <w:p>
      <w:pPr>
        <w:spacing w:after="200" w:before="60"/>
        <w:jc w:val="center"/>
      </w:pPr>
      <w:r>
        <w:rPr>
          <w:rFonts w:ascii="Calibri" w:cs="Calibri" w:eastAsia="Calibri" w:hAnsi="Calibri"/>
          <w:b/>
          <w:bCs/>
          <w:color w:val="1F3864"/>
          <w:sz w:val="30"/>
          <w:szCs w:val="30"/>
        </w:rPr>
        <w:t xml:space="preserve">COMMERCIAL QUOTATION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0"/>
        <w:gridCol w:w="4820"/>
      </w:tblGrid>
      <w:tr>
        <w:tc>
          <w:tcPr>
            <w:tcW w:type="dxa" w:w="4820"/>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To,</w:t>
            </w:r>
          </w:p>
          <w:p>
            <w:pPr>
              <w:spacing w:after="40" w:before="0"/>
            </w:pPr>
            <w:r>
              <w:rPr>
                <w:rFonts w:ascii="Calibri" w:cs="Calibri" w:eastAsia="Calibri" w:hAnsi="Calibri"/>
                <w:b/>
                <w:bCs/>
                <w:sz w:val="21"/>
                <w:szCs w:val="21"/>
              </w:rPr>
              <w:t xml:space="preserve">M/s. MEKHOS</w:t>
            </w:r>
          </w:p>
          <w:p>
            <w:pPr>
              <w:spacing w:after="40" w:before="0"/>
            </w:pPr>
            <w:r>
              <w:rPr>
                <w:rFonts w:ascii="Calibri" w:cs="Calibri" w:eastAsia="Calibri" w:hAnsi="Calibri"/>
                <w:sz w:val="21"/>
                <w:szCs w:val="21"/>
              </w:rPr>
              <w:t xml:space="preserve">Kind Attn: The Management</w:t>
            </w:r>
          </w:p>
        </w:tc>
        <w:tc>
          <w:tcPr>
            <w:tcW w:type="dxa" w:w="4820"/>
            <w:tcBorders>
              <w:top w:val="none" w:color="FFFFFF" w:sz="0"/>
              <w:left w:val="none" w:color="FFFFFF" w:sz="0"/>
              <w:bottom w:val="none" w:color="FFFFFF" w:sz="0"/>
              <w:right w:val="none" w:color="FFFFFF" w:sz="0"/>
            </w:tcBorders>
          </w:tcPr>
          <w:p>
            <w:pPr>
              <w:spacing w:after="40"/>
              <w:jc w:val="right"/>
            </w:pPr>
            <w:r>
              <w:rPr>
                <w:rFonts w:ascii="Calibri" w:cs="Calibri" w:eastAsia="Calibri" w:hAnsi="Calibri"/>
                <w:sz w:val="21"/>
                <w:szCs w:val="21"/>
              </w:rPr>
              <w:t xml:space="preserve">Quotation No.: NMS/QTN/2026-27/014</w:t>
            </w:r>
          </w:p>
          <w:p>
            <w:pPr>
              <w:spacing w:after="40"/>
              <w:jc w:val="right"/>
            </w:pPr>
            <w:r>
              <w:rPr>
                <w:rFonts w:ascii="Calibri" w:cs="Calibri" w:eastAsia="Calibri" w:hAnsi="Calibri"/>
                <w:sz w:val="21"/>
                <w:szCs w:val="21"/>
              </w:rPr>
              <w:t xml:space="preserve">Date: 23 August 2026</w:t>
            </w:r>
          </w:p>
          <w:p>
            <w:pPr>
              <w:spacing w:after="40"/>
              <w:jc w:val="right"/>
            </w:pPr>
            <w:r>
              <w:rPr>
                <w:rFonts w:ascii="Calibri" w:cs="Calibri" w:eastAsia="Calibri" w:hAnsi="Calibri"/>
                <w:sz w:val="21"/>
                <w:szCs w:val="21"/>
              </w:rPr>
              <w:t xml:space="preserve">Validity: 30 days from date of issue</w:t>
            </w:r>
          </w:p>
        </w:tc>
      </w:tr>
    </w:tbl>
    <w:p>
      <w:pPr>
        <w:spacing w:after="160" w:before="200"/>
      </w:pPr>
      <w:r>
        <w:rPr>
          <w:rFonts w:ascii="Calibri" w:cs="Calibri" w:eastAsia="Calibri" w:hAnsi="Calibri"/>
          <w:b/>
          <w:bCs/>
          <w:sz w:val="21"/>
          <w:szCs w:val="21"/>
        </w:rPr>
        <w:t xml:space="preserve">Subject: Quotation for the design, development and implementation of a custom ERP system for Mekhos.</w:t>
      </w:r>
    </w:p>
    <w:p>
      <w:pPr>
        <w:spacing w:after="120" w:before="0"/>
      </w:pPr>
      <w:r>
        <w:rPr>
          <w:rFonts w:ascii="Calibri" w:cs="Calibri" w:eastAsia="Calibri" w:hAnsi="Calibri"/>
          <w:sz w:val="21"/>
          <w:szCs w:val="21"/>
        </w:rPr>
        <w:t xml:space="preserve">Dear Sir / Madam,</w:t>
      </w:r>
    </w:p>
    <w:p>
      <w:pPr>
        <w:spacing w:after="120" w:before="0"/>
      </w:pPr>
      <w:r>
        <w:rPr>
          <w:rFonts w:ascii="Calibri" w:cs="Calibri" w:eastAsia="Calibri" w:hAnsi="Calibri"/>
          <w:sz w:val="21"/>
          <w:szCs w:val="21"/>
        </w:rPr>
        <w:t xml:space="preserve">Thank you for sharing your ERP requirement document and process flow presentation. We have studied your end-to-end process — from Item Master, PR and Purchase Order through GRN, SCN, Material Issue, Sub-contracting, Production, Dispatch DC and Reports — along with the current pain points you have highlighted (item duplication, item continuity, PR/PO re-opening, save reliability, slow reports and year-change handling). We are pleased to submit our proposal as under.</w:t>
      </w:r>
    </w:p>
    <w:p>
      <w:pPr>
        <w:pStyle w:val="Heading1"/>
        <w:spacing w:after="140" w:before="280"/>
      </w:pPr>
      <w:r>
        <w:rPr>
          <w:rFonts w:ascii="Calibri" w:cs="Calibri" w:eastAsia="Calibri" w:hAnsi="Calibri"/>
          <w:b/>
          <w:bCs/>
          <w:color w:val="1F3864"/>
          <w:sz w:val="26"/>
          <w:szCs w:val="26"/>
        </w:rPr>
        <w:t xml:space="preserve">1. Scope of Work</w:t>
      </w:r>
    </w:p>
    <w:p>
      <w:pPr>
        <w:spacing w:after="140" w:before="0"/>
      </w:pPr>
      <w:r>
        <w:rPr>
          <w:rFonts w:ascii="Calibri" w:cs="Calibri" w:eastAsia="Calibri" w:hAnsi="Calibri"/>
          <w:sz w:val="21"/>
          <w:szCs w:val="21"/>
        </w:rPr>
        <w:t xml:space="preserve">A web-based ERP application covering the following modules, accessible on desktop and mobile browsers, with role-based access control and online approvals: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2340"/>
        <w:gridCol w:w="670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w:t>
            </w:r>
          </w:p>
        </w:tc>
        <w:tc>
          <w:tcPr>
            <w:tcW w:type="dxa" w:w="23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Module</w:t>
            </w:r>
          </w:p>
        </w:tc>
        <w:tc>
          <w:tcPr>
            <w:tcW w:type="dxa" w:w="67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Scope covered</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Dashboard</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Live project status (open / completed on DC &amp; invoice), total PO pending — category-wise and value-wise, line items pending project-wise, overdue items.</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2</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Masters &amp; Administration</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User Master, User Rights (role-based permissions matrix), Authority Manager (threshold-based approvals), Item / Category / UOM / Stores masters, Material &amp; Item Master with a single item-code policy and 100% duplicate prevention (pop-up alert with merge option), BOM &amp; Process Master (multi-level), Customer &amp; Vendor Master (GSTIN, bank details), Machine Master, Company Details, and bulk master upload from Excel.</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3</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Design / BOM</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Multi-level BOM with raw-material estimation, item continuity enforced end-to-end (same item code through the full process chain), last purchase price and current stock displayed at BOM and PR stages.</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4</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Sales / Project (Cost Center)</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Project creation with team member and manager assignment (with mobile numbers), project-wise pop-up messaging (incl. GRN-time alerts), cost-center linkage.</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5</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Purchase</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PR creation with line-item and quantity-wise deletion of pending balances, PO — direct / multiple / sub-contract type (changeable category after PO), PO inward, sending enquiries directly from the ERP with cost comparison and final-price history, authorization workflow with status tracking (Completed / Authorized), PO Status visibility.</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6</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GRN</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PO-based and DC-based GRN (invoice entered later), PO price modification until invoice entry with GRN lock, multiple invoice numbers in one GRN, multiple GRNs at a time, common UI for regular and sub-contract GRN.</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7</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SCN (Quality)</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Multiple SCN at a time with interlock so only accepted parts move to stock, rework parts re-acceptance even when other parts are already issued, SCN Rejection reporting, sub-contract SCN from the same UI, Tool Crib issue / return with reports.</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8</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Inventory &amp; Stores</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Stock position, STN (addition), MIN (reduction), inter-stock transfer with improved accessibility, stock check, consolidated single-line inventory (no duplicate line items).</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9</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Sub-contract Management</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Sub-contract PO / JO, material transfer to subcontractor generating Stock Entry with printable Delivery Challan, exploded BOM pulled into the dispatch layout, sub-contract DC / PO / GRN / SCN on one common UI.</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10</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Production &amp; Planning</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Job Order — project &gt; category &gt; multi-station consolidated JO with material availability and completed / pending segregation; Production Material Issue by JO number or clubbed across multiple JOs; Assembly GRN / SCN; Job Card; Project Master.</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11</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Dispatch &amp; DC</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Outward DC with RGP / NRGP and single-level online approval (mobile-enabled), free-text or item-panel descriptions without item-master entry, Customer DC inward with status check, GL Item DC, RGP pending tracking, full DC history.</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12</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Reports (MIS)</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BOM, PO pending, PR pending, Vendor rating &amp; performance, SCN rejection, GRN pending, Stock analysis / ledger, Material stock at vendor, Item history, Job order pending, GL items pending, DC pending, Cost-center analysis, Project-wise expenses &amp; material analysis, PR-to-SCN consolidated status, general ledger and search — optimized for fast response.</w:t>
            </w:r>
          </w:p>
        </w:tc>
      </w:tr>
    </w:tbl>
    <w:p>
      <w:pPr>
        <w:pStyle w:val="Heading1"/>
        <w:spacing w:after="140" w:before="280"/>
      </w:pPr>
      <w:r>
        <w:rPr>
          <w:rFonts w:ascii="Calibri" w:cs="Calibri" w:eastAsia="Calibri" w:hAnsi="Calibri"/>
          <w:b/>
          <w:bCs/>
          <w:color w:val="1F3864"/>
          <w:sz w:val="26"/>
          <w:szCs w:val="26"/>
        </w:rPr>
        <w:t xml:space="preserve">2. Resolution of Current Issues (Committed)</w:t>
      </w:r>
    </w:p>
    <w:p>
      <w:pPr>
        <w:pStyle w:val="ListParagraph"/>
        <w:numPr>
          <w:ilvl w:val="0"/>
          <w:numId w:val="2"/>
        </w:numPr>
        <w:spacing w:after="60"/>
      </w:pPr>
      <w:r>
        <w:rPr>
          <w:rFonts w:ascii="Calibri" w:cs="Calibri" w:eastAsia="Calibri" w:hAnsi="Calibri"/>
          <w:sz w:val="21"/>
          <w:szCs w:val="21"/>
        </w:rPr>
        <w:t xml:space="preserve">Item duplication prevented 100% at master level, with duplicate-check pop-up and merge option.</w:t>
      </w:r>
    </w:p>
    <w:p>
      <w:pPr>
        <w:pStyle w:val="ListParagraph"/>
        <w:numPr>
          <w:ilvl w:val="0"/>
          <w:numId w:val="2"/>
        </w:numPr>
        <w:spacing w:after="60"/>
      </w:pPr>
      <w:r>
        <w:rPr>
          <w:rFonts w:ascii="Calibri" w:cs="Calibri" w:eastAsia="Calibri" w:hAnsi="Calibri"/>
          <w:sz w:val="21"/>
          <w:szCs w:val="21"/>
        </w:rPr>
        <w:t xml:space="preserve">Item continuity — the same item code flows from PR to process end with no de-linking.</w:t>
      </w:r>
    </w:p>
    <w:p>
      <w:pPr>
        <w:pStyle w:val="ListParagraph"/>
        <w:numPr>
          <w:ilvl w:val="0"/>
          <w:numId w:val="2"/>
        </w:numPr>
        <w:spacing w:after="60"/>
      </w:pPr>
      <w:r>
        <w:rPr>
          <w:rFonts w:ascii="Calibri" w:cs="Calibri" w:eastAsia="Calibri" w:hAnsi="Calibri"/>
          <w:sz w:val="21"/>
          <w:szCs w:val="21"/>
        </w:rPr>
        <w:t xml:space="preserve">PO-to-PR re-opening eliminated; transaction save reliability ensured (no missing PR items / SCN entries under concurrent use).</w:t>
      </w:r>
    </w:p>
    <w:p>
      <w:pPr>
        <w:pStyle w:val="ListParagraph"/>
        <w:numPr>
          <w:ilvl w:val="0"/>
          <w:numId w:val="2"/>
        </w:numPr>
        <w:spacing w:after="60"/>
      </w:pPr>
      <w:r>
        <w:rPr>
          <w:rFonts w:ascii="Calibri" w:cs="Calibri" w:eastAsia="Calibri" w:hAnsi="Calibri"/>
          <w:sz w:val="21"/>
          <w:szCs w:val="21"/>
        </w:rPr>
        <w:t xml:space="preserve">Material issue clubbing across multiple Job Orders; inventory lines consolidated.</w:t>
      </w:r>
    </w:p>
    <w:p>
      <w:pPr>
        <w:pStyle w:val="ListParagraph"/>
        <w:numPr>
          <w:ilvl w:val="0"/>
          <w:numId w:val="2"/>
        </w:numPr>
        <w:spacing w:after="60"/>
      </w:pPr>
      <w:r>
        <w:rPr>
          <w:rFonts w:ascii="Calibri" w:cs="Calibri" w:eastAsia="Calibri" w:hAnsi="Calibri"/>
          <w:sz w:val="21"/>
          <w:szCs w:val="21"/>
        </w:rPr>
        <w:t xml:space="preserve">Common UI for sub-contract DC / PO / GRN / SCN.</w:t>
      </w:r>
    </w:p>
    <w:p>
      <w:pPr>
        <w:pStyle w:val="ListParagraph"/>
        <w:numPr>
          <w:ilvl w:val="0"/>
          <w:numId w:val="2"/>
        </w:numPr>
        <w:spacing w:after="60"/>
      </w:pPr>
      <w:r>
        <w:rPr>
          <w:rFonts w:ascii="Calibri" w:cs="Calibri" w:eastAsia="Calibri" w:hAnsi="Calibri"/>
          <w:sz w:val="21"/>
          <w:szCs w:val="21"/>
        </w:rPr>
        <w:t xml:space="preserve">Smooth financial-year change and fast, accurate reports.</w:t>
      </w:r>
    </w:p>
    <w:p>
      <w:pPr>
        <w:pStyle w:val="ListParagraph"/>
        <w:numPr>
          <w:ilvl w:val="0"/>
          <w:numId w:val="2"/>
        </w:numPr>
        <w:spacing w:after="60"/>
      </w:pPr>
      <w:r>
        <w:rPr>
          <w:rFonts w:ascii="Calibri" w:cs="Calibri" w:eastAsia="Calibri" w:hAnsi="Calibri"/>
          <w:sz w:val="21"/>
          <w:szCs w:val="21"/>
        </w:rPr>
        <w:t xml:space="preserve">Back navigation available on every page; full backup with duplicate checking.</w:t>
      </w:r>
    </w:p>
    <w:p>
      <w:pPr>
        <w:pStyle w:val="Heading1"/>
        <w:spacing w:after="140" w:before="280"/>
      </w:pPr>
      <w:r>
        <w:rPr>
          <w:rFonts w:ascii="Calibri" w:cs="Calibri" w:eastAsia="Calibri" w:hAnsi="Calibri"/>
          <w:b/>
          <w:bCs/>
          <w:color w:val="1F3864"/>
          <w:sz w:val="26"/>
          <w:szCs w:val="26"/>
        </w:rPr>
        <w:t xml:space="preserve">3. Commercials</w:t>
      </w:r>
    </w:p>
    <w:p>
      <w:pPr>
        <w:spacing w:after="140" w:before="0"/>
      </w:pPr>
      <w:r>
        <w:rPr>
          <w:rFonts w:ascii="Calibri" w:cs="Calibri" w:eastAsia="Calibri" w:hAnsi="Calibri"/>
          <w:sz w:val="21"/>
          <w:szCs w:val="21"/>
        </w:rPr>
        <w:t xml:space="preserve">Total value for the complete scope described above: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6940"/>
        <w:gridCol w:w="210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w:t>
            </w:r>
          </w:p>
        </w:tc>
        <w:tc>
          <w:tcPr>
            <w:tcW w:type="dxa" w:w="69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Description</w:t>
            </w:r>
          </w:p>
        </w:tc>
        <w:tc>
          <w:tcPr>
            <w:tcW w:type="dxa" w:w="21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Amount (INR)</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Requirement study, process mapping &amp; system design</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60,000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2</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Masters &amp; Administration (users, rights, authority, items, BOM, vendors)</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3</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Purchase &amp; Procurement (PR, PO, PO inward, GRN, SCN, authorization)</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1,60,000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4</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Inventory &amp; Stores (stock position, STN / MIN, inter-stock transfer, tool crib)</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5</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Sub-contract Management (DC, PO, GRN, SCN — common UI)</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80,000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6</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Production &amp; Planning (Job Order, PMI, Assembly GRN / SCN, Job Card)</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7</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Dispatch &amp; DC (Outward DC, RGP / NRGP approval, Customer DC inward, GL DC)</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60,000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8</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Dashboard &amp; MIS Reports</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9</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Data migration, UAT support, user training &amp; go-live</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80,000</w:t>
            </w:r>
          </w:p>
        </w:tc>
      </w:tr>
      <w:tr>
        <w:tc>
          <w:tcPr>
            <w:tcW w:type="dxa" w:w="600"/>
            <w:tcBorders>
              <w:top w:val="single" w:color="BFBFBF" w:sz="4"/>
              <w:left w:val="single" w:color="BFBFBF" w:sz="4"/>
              <w:bottom w:val="single" w:color="BFBFBF" w:sz="4"/>
              <w:right w:val="single" w:color="BFBFBF" w:sz="4"/>
            </w:tcBorders>
            <w:shd w:fill="1F3864" w:val="clear"/>
            <w:tcMar>
              <w:top w:type="dxa" w:w="90"/>
              <w:left w:type="dxa" w:w="110"/>
              <w:bottom w:type="dxa" w:w="90"/>
              <w:right w:type="dxa" w:w="110"/>
            </w:tcMar>
          </w:tcPr>
          <w:p>
            <w:pPr>
              <w:spacing w:after="0"/>
            </w:pPr>
            <w:r>
              <w:rPr>
                <w:rFonts w:ascii="Calibri" w:cs="Calibri" w:eastAsia="Calibri" w:hAnsi="Calibri"/>
                <w:b/>
                <w:bCs/>
                <w:color w:val="FFFFFF"/>
                <w:sz w:val="21"/>
                <w:szCs w:val="21"/>
              </w:rPr>
              <w:t xml:space="preserve"/>
            </w:r>
          </w:p>
        </w:tc>
        <w:tc>
          <w:tcPr>
            <w:tcW w:type="dxa" w:w="6940"/>
            <w:tcBorders>
              <w:top w:val="single" w:color="BFBFBF" w:sz="4"/>
              <w:left w:val="single" w:color="BFBFBF" w:sz="4"/>
              <w:bottom w:val="single" w:color="BFBFBF" w:sz="4"/>
              <w:right w:val="single" w:color="BFBFBF" w:sz="4"/>
            </w:tcBorders>
            <w:shd w:fill="1F3864" w:val="clear"/>
            <w:tcMar>
              <w:top w:type="dxa" w:w="90"/>
              <w:left w:type="dxa" w:w="110"/>
              <w:bottom w:type="dxa" w:w="90"/>
              <w:right w:type="dxa" w:w="110"/>
            </w:tcMar>
          </w:tcPr>
          <w:p>
            <w:pPr>
              <w:spacing w:after="0"/>
            </w:pPr>
            <w:r>
              <w:rPr>
                <w:rFonts w:ascii="Calibri" w:cs="Calibri" w:eastAsia="Calibri" w:hAnsi="Calibri"/>
                <w:b/>
                <w:bCs/>
                <w:color w:val="FFFFFF"/>
                <w:sz w:val="21"/>
                <w:szCs w:val="21"/>
              </w:rPr>
              <w:t xml:space="preserve">TOTAL PROJECT VALUE</w:t>
            </w:r>
          </w:p>
        </w:tc>
        <w:tc>
          <w:tcPr>
            <w:tcW w:type="dxa" w:w="2100"/>
            <w:tcBorders>
              <w:top w:val="single" w:color="BFBFBF" w:sz="4"/>
              <w:left w:val="single" w:color="BFBFBF" w:sz="4"/>
              <w:bottom w:val="single" w:color="BFBFBF" w:sz="4"/>
              <w:right w:val="single" w:color="BFBFBF" w:sz="4"/>
            </w:tcBorders>
            <w:shd w:fill="1F3864" w:val="clear"/>
            <w:tcMar>
              <w:top w:type="dxa" w:w="90"/>
              <w:left w:type="dxa" w:w="110"/>
              <w:bottom w:type="dxa" w:w="90"/>
              <w:right w:type="dxa" w:w="110"/>
            </w:tcMar>
          </w:tcPr>
          <w:p>
            <w:pPr>
              <w:spacing w:after="0"/>
              <w:jc w:val="right"/>
            </w:pPr>
            <w:r>
              <w:rPr>
                <w:rFonts w:ascii="Calibri" w:cs="Calibri" w:eastAsia="Calibri" w:hAnsi="Calibri"/>
                <w:b/>
                <w:bCs/>
                <w:color w:val="FFFFFF"/>
                <w:sz w:val="21"/>
                <w:szCs w:val="21"/>
              </w:rPr>
              <w:t xml:space="preserve">₹ 8,00,000</w:t>
            </w:r>
          </w:p>
        </w:tc>
      </w:tr>
    </w:tbl>
    <w:p>
      <w:pPr>
        <w:spacing w:after="60" w:before="100"/>
      </w:pPr>
      <w:r>
        <w:rPr>
          <w:rFonts w:ascii="Calibri" w:cs="Calibri" w:eastAsia="Calibri" w:hAnsi="Calibri"/>
          <w:i/>
          <w:iCs/>
          <w:sz w:val="21"/>
          <w:szCs w:val="21"/>
        </w:rPr>
        <w:t xml:space="preserve">(Rupees Eight Lakhs Only)</w:t>
      </w:r>
    </w:p>
    <w:p>
      <w:pPr>
        <w:spacing w:after="160" w:before="0"/>
      </w:pPr>
      <w:r>
        <w:rPr>
          <w:rFonts w:ascii="Calibri" w:cs="Calibri" w:eastAsia="Calibri" w:hAnsi="Calibri"/>
          <w:color w:val="666666"/>
          <w:sz w:val="21"/>
          <w:szCs w:val="21"/>
        </w:rPr>
        <w:t xml:space="preserve">GST is not currently applicable, as the supplier is not registered under GST (services turnover below the registration threshold). If GST registration is obtained during the engagement, GST will be charged extra at the prevailing rate on subsequent invoices.</w:t>
      </w:r>
    </w:p>
    <w:p>
      <w:pPr>
        <w:pStyle w:val="Heading1"/>
        <w:spacing w:after="140" w:before="280"/>
      </w:pPr>
      <w:r>
        <w:rPr>
          <w:rFonts w:ascii="Calibri" w:cs="Calibri" w:eastAsia="Calibri" w:hAnsi="Calibri"/>
          <w:b/>
          <w:bCs/>
          <w:color w:val="1F3864"/>
          <w:sz w:val="26"/>
          <w:szCs w:val="26"/>
        </w:rPr>
        <w:t xml:space="preserve">4. Payment Schedule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40"/>
        <w:gridCol w:w="1500"/>
        <w:gridCol w:w="2100"/>
      </w:tblGrid>
      <w:tr>
        <w:trPr>
          <w:tblHeader/>
        </w:trPr>
        <w:tc>
          <w:tcPr>
            <w:tcW w:type="dxa" w:w="60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Milestone</w:t>
            </w:r>
          </w:p>
        </w:tc>
        <w:tc>
          <w:tcPr>
            <w:tcW w:type="dxa" w:w="15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Share</w:t>
            </w:r>
          </w:p>
        </w:tc>
        <w:tc>
          <w:tcPr>
            <w:tcW w:type="dxa" w:w="21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Amount (INR)</w:t>
            </w:r>
          </w:p>
        </w:tc>
      </w:tr>
      <w:tr>
        <w:tc>
          <w:tcPr>
            <w:tcW w:type="dxa" w:w="60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Advance with confirmed purchase order</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10%</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80,000</w:t>
            </w:r>
          </w:p>
        </w:tc>
      </w:tr>
      <w:tr>
        <w:tc>
          <w:tcPr>
            <w:tcW w:type="dxa" w:w="60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On completion of Foundation and Core modules (staging demo)</w:t>
            </w:r>
          </w:p>
        </w:tc>
        <w:tc>
          <w:tcPr>
            <w:tcW w:type="dxa" w:w="15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30%</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2,40,000</w:t>
            </w:r>
          </w:p>
        </w:tc>
      </w:tr>
      <w:tr>
        <w:tc>
          <w:tcPr>
            <w:tcW w:type="dxa" w:w="60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On completion of all modules and start of UAT</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30%</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2,40,000</w:t>
            </w:r>
          </w:p>
        </w:tc>
      </w:tr>
      <w:tr>
        <w:tc>
          <w:tcPr>
            <w:tcW w:type="dxa" w:w="60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On go-live sign-off</w:t>
            </w:r>
          </w:p>
        </w:tc>
        <w:tc>
          <w:tcPr>
            <w:tcW w:type="dxa" w:w="15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30%</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2,40,000</w:t>
            </w:r>
          </w:p>
        </w:tc>
      </w:tr>
    </w:tbl>
    <w:p>
      <w:pPr>
        <w:pStyle w:val="Heading1"/>
        <w:spacing w:after="140" w:before="280"/>
      </w:pPr>
      <w:r>
        <w:rPr>
          <w:rFonts w:ascii="Calibri" w:cs="Calibri" w:eastAsia="Calibri" w:hAnsi="Calibri"/>
          <w:b/>
          <w:bCs/>
          <w:color w:val="1F3864"/>
          <w:sz w:val="26"/>
          <w:szCs w:val="26"/>
        </w:rPr>
        <w:t xml:space="preserve">5. Delivery Timeline</w:t>
      </w:r>
    </w:p>
    <w:p>
      <w:pPr>
        <w:spacing w:after="140" w:before="0"/>
      </w:pPr>
      <w:r>
        <w:rPr>
          <w:rFonts w:ascii="Calibri" w:cs="Calibri" w:eastAsia="Calibri" w:hAnsi="Calibri"/>
          <w:sz w:val="21"/>
          <w:szCs w:val="21"/>
        </w:rPr>
        <w:t xml:space="preserve">Estimated overall duration: 44 weeks (approximately 10 months) from purchase order and receipt of advance, phased as below.</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400"/>
        <w:gridCol w:w="6140"/>
        <w:gridCol w:w="21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Phase</w:t>
            </w:r>
          </w:p>
        </w:tc>
        <w:tc>
          <w:tcPr>
            <w:tcW w:type="dxa" w:w="61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Deliverable</w:t>
            </w:r>
          </w:p>
        </w:tc>
        <w:tc>
          <w:tcPr>
            <w:tcW w:type="dxa" w:w="21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Schedule</w:t>
            </w:r>
          </w:p>
        </w:tc>
      </w:tr>
      <w:tr>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Phase 1</w:t>
            </w:r>
          </w:p>
        </w:tc>
        <w:tc>
          <w:tcPr>
            <w:tcW w:type="dxa" w:w="61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Foundation — requirement sign-off, system architecture, security, application shell</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Weeks 1 – 8</w:t>
            </w:r>
          </w:p>
        </w:tc>
      </w:tr>
      <w:tr>
        <w:tc>
          <w:tcPr>
            <w:tcW w:type="dxa" w:w="14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Phase 2</w:t>
            </w:r>
          </w:p>
        </w:tc>
        <w:tc>
          <w:tcPr>
            <w:tcW w:type="dxa" w:w="61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Core modules — Masters, Design/BOM, Purchase, GRN, SCN, Inventory</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Weeks 9 – 22</w:t>
            </w:r>
          </w:p>
        </w:tc>
      </w:tr>
      <w:tr>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Phase 3</w:t>
            </w:r>
          </w:p>
        </w:tc>
        <w:tc>
          <w:tcPr>
            <w:tcW w:type="dxa" w:w="61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Advanced modules — Sub-contract, Production &amp; Planning, Dispatch/DC, Dashboard &amp; Reports</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Weeks 23 – 38</w:t>
            </w:r>
          </w:p>
        </w:tc>
      </w:tr>
      <w:tr>
        <w:tc>
          <w:tcPr>
            <w:tcW w:type="dxa" w:w="14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Phase 4</w:t>
            </w:r>
          </w:p>
        </w:tc>
        <w:tc>
          <w:tcPr>
            <w:tcW w:type="dxa" w:w="61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Hardening &amp; QA (runs in parallel with Phases 2–3)</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Weeks 33 – 40</w:t>
            </w:r>
          </w:p>
        </w:tc>
      </w:tr>
      <w:tr>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Phase 5</w:t>
            </w:r>
          </w:p>
        </w:tc>
        <w:tc>
          <w:tcPr>
            <w:tcW w:type="dxa" w:w="61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Data migration, UAT, training &amp; go-live</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Weeks 39 – 44</w:t>
            </w:r>
          </w:p>
        </w:tc>
      </w:tr>
    </w:tbl>
    <w:p>
      <w:pPr>
        <w:pStyle w:val="Heading1"/>
        <w:spacing w:after="140" w:before="280"/>
      </w:pPr>
      <w:r>
        <w:rPr>
          <w:rFonts w:ascii="Calibri" w:cs="Calibri" w:eastAsia="Calibri" w:hAnsi="Calibri"/>
          <w:b/>
          <w:bCs/>
          <w:color w:val="1F3864"/>
          <w:sz w:val="26"/>
          <w:szCs w:val="26"/>
        </w:rPr>
        <w:t xml:space="preserve">6. Inclusions</w:t>
      </w:r>
    </w:p>
    <w:p>
      <w:pPr>
        <w:pStyle w:val="ListParagraph"/>
        <w:numPr>
          <w:ilvl w:val="0"/>
          <w:numId w:val="2"/>
        </w:numPr>
        <w:spacing w:after="60"/>
      </w:pPr>
      <w:r>
        <w:rPr>
          <w:rFonts w:ascii="Calibri" w:cs="Calibri" w:eastAsia="Calibri" w:hAnsi="Calibri"/>
          <w:sz w:val="21"/>
          <w:szCs w:val="21"/>
        </w:rPr>
        <w:t xml:space="preserve">Requirement study and process-mapping workshops with your team.</w:t>
      </w:r>
    </w:p>
    <w:p>
      <w:pPr>
        <w:pStyle w:val="ListParagraph"/>
        <w:numPr>
          <w:ilvl w:val="0"/>
          <w:numId w:val="2"/>
        </w:numPr>
        <w:spacing w:after="60"/>
      </w:pPr>
      <w:r>
        <w:rPr>
          <w:rFonts w:ascii="Calibri" w:cs="Calibri" w:eastAsia="Calibri" w:hAnsi="Calibri"/>
          <w:sz w:val="21"/>
          <w:szCs w:val="21"/>
        </w:rPr>
        <w:t xml:space="preserve">Design, development, testing and deployment of all modules listed in the scope.</w:t>
      </w:r>
    </w:p>
    <w:p>
      <w:pPr>
        <w:pStyle w:val="ListParagraph"/>
        <w:numPr>
          <w:ilvl w:val="0"/>
          <w:numId w:val="2"/>
        </w:numPr>
        <w:spacing w:after="60"/>
      </w:pPr>
      <w:r>
        <w:rPr>
          <w:rFonts w:ascii="Calibri" w:cs="Calibri" w:eastAsia="Calibri" w:hAnsi="Calibri"/>
          <w:sz w:val="21"/>
          <w:szCs w:val="21"/>
        </w:rPr>
        <w:t xml:space="preserve">Migration of existing master data (items, vendors, customers, BOM) from Excel.</w:t>
      </w:r>
    </w:p>
    <w:p>
      <w:pPr>
        <w:pStyle w:val="ListParagraph"/>
        <w:numPr>
          <w:ilvl w:val="0"/>
          <w:numId w:val="2"/>
        </w:numPr>
        <w:spacing w:after="60"/>
      </w:pPr>
      <w:r>
        <w:rPr>
          <w:rFonts w:ascii="Calibri" w:cs="Calibri" w:eastAsia="Calibri" w:hAnsi="Calibri"/>
          <w:sz w:val="21"/>
          <w:szCs w:val="21"/>
        </w:rPr>
        <w:t xml:space="preserve">User training (up to 3 sessions) and user manuals.</w:t>
      </w:r>
    </w:p>
    <w:p>
      <w:pPr>
        <w:pStyle w:val="ListParagraph"/>
        <w:numPr>
          <w:ilvl w:val="0"/>
          <w:numId w:val="2"/>
        </w:numPr>
        <w:spacing w:after="60"/>
      </w:pPr>
      <w:r>
        <w:rPr>
          <w:rFonts w:ascii="Calibri" w:cs="Calibri" w:eastAsia="Calibri" w:hAnsi="Calibri"/>
          <w:sz w:val="21"/>
          <w:szCs w:val="21"/>
        </w:rPr>
        <w:t xml:space="preserve">6 months of free post-go-live support (bug fixes and assistance).</w:t>
      </w:r>
    </w:p>
    <w:p>
      <w:pPr>
        <w:pStyle w:val="Heading1"/>
        <w:spacing w:after="140" w:before="280"/>
      </w:pPr>
      <w:r>
        <w:rPr>
          <w:rFonts w:ascii="Calibri" w:cs="Calibri" w:eastAsia="Calibri" w:hAnsi="Calibri"/>
          <w:b/>
          <w:bCs/>
          <w:color w:val="1F3864"/>
          <w:sz w:val="26"/>
          <w:szCs w:val="26"/>
        </w:rPr>
        <w:t xml:space="preserve">7. Exclusions</w:t>
      </w:r>
    </w:p>
    <w:p>
      <w:pPr>
        <w:pStyle w:val="ListParagraph"/>
        <w:numPr>
          <w:ilvl w:val="0"/>
          <w:numId w:val="2"/>
        </w:numPr>
        <w:spacing w:after="60"/>
      </w:pPr>
      <w:r>
        <w:rPr>
          <w:rFonts w:ascii="Calibri" w:cs="Calibri" w:eastAsia="Calibri" w:hAnsi="Calibri"/>
          <w:sz w:val="21"/>
          <w:szCs w:val="21"/>
        </w:rPr>
        <w:t xml:space="preserve">Server hardware / cloud hosting charges and third-party software licenses (billed at actuals).</w:t>
      </w:r>
    </w:p>
    <w:p>
      <w:pPr>
        <w:pStyle w:val="ListParagraph"/>
        <w:numPr>
          <w:ilvl w:val="0"/>
          <w:numId w:val="2"/>
        </w:numPr>
        <w:spacing w:after="60"/>
      </w:pPr>
      <w:r>
        <w:rPr>
          <w:rFonts w:ascii="Calibri" w:cs="Calibri" w:eastAsia="Calibri" w:hAnsi="Calibri"/>
          <w:sz w:val="21"/>
          <w:szCs w:val="21"/>
        </w:rPr>
        <w:t xml:space="preserve">Requirements beyond the scope listed above (quoted separately as change requests).</w:t>
      </w:r>
    </w:p>
    <w:p>
      <w:pPr>
        <w:pStyle w:val="ListParagraph"/>
        <w:numPr>
          <w:ilvl w:val="0"/>
          <w:numId w:val="2"/>
        </w:numPr>
        <w:spacing w:after="60"/>
      </w:pPr>
      <w:r>
        <w:rPr>
          <w:rFonts w:ascii="Calibri" w:cs="Calibri" w:eastAsia="Calibri" w:hAnsi="Calibri"/>
          <w:sz w:val="21"/>
          <w:szCs w:val="21"/>
        </w:rPr>
        <w:t xml:space="preserve">On-site deputation beyond the agreed training and go-live visits.</w:t>
      </w:r>
    </w:p>
    <w:p>
      <w:pPr>
        <w:pStyle w:val="Heading1"/>
        <w:spacing w:after="140" w:before="280"/>
      </w:pPr>
      <w:r>
        <w:rPr>
          <w:rFonts w:ascii="Calibri" w:cs="Calibri" w:eastAsia="Calibri" w:hAnsi="Calibri"/>
          <w:b/>
          <w:bCs/>
          <w:color w:val="1F3864"/>
          <w:sz w:val="26"/>
          <w:szCs w:val="26"/>
        </w:rPr>
        <w:t xml:space="preserve">8. Terms &amp; Conditions</w:t>
      </w:r>
    </w:p>
    <w:p>
      <w:pPr>
        <w:pStyle w:val="ListParagraph"/>
        <w:numPr>
          <w:ilvl w:val="0"/>
          <w:numId w:val="2"/>
        </w:numPr>
        <w:spacing w:after="60"/>
      </w:pPr>
      <w:r>
        <w:rPr>
          <w:rFonts w:ascii="Calibri" w:cs="Calibri" w:eastAsia="Calibri" w:hAnsi="Calibri"/>
          <w:sz w:val="21"/>
          <w:szCs w:val="21"/>
        </w:rPr>
        <w:t xml:space="preserve">This quotation is valid for 30 days from the date of issue.</w:t>
      </w:r>
    </w:p>
    <w:p>
      <w:pPr>
        <w:pStyle w:val="ListParagraph"/>
        <w:numPr>
          <w:ilvl w:val="0"/>
          <w:numId w:val="2"/>
        </w:numPr>
        <w:spacing w:after="60"/>
      </w:pPr>
      <w:r>
        <w:rPr>
          <w:rFonts w:ascii="Calibri" w:cs="Calibri" w:eastAsia="Calibri" w:hAnsi="Calibri"/>
          <w:sz w:val="21"/>
          <w:szCs w:val="21"/>
        </w:rPr>
        <w:t xml:space="preserve">The scope freeze happens at design sign-off; changes thereafter follow a change-request process.</w:t>
      </w:r>
    </w:p>
    <w:p>
      <w:pPr>
        <w:pStyle w:val="ListParagraph"/>
        <w:numPr>
          <w:ilvl w:val="0"/>
          <w:numId w:val="2"/>
        </w:numPr>
        <w:spacing w:after="60"/>
      </w:pPr>
      <w:r>
        <w:rPr>
          <w:rFonts w:ascii="Calibri" w:cs="Calibri" w:eastAsia="Calibri" w:hAnsi="Calibri"/>
          <w:sz w:val="21"/>
          <w:szCs w:val="21"/>
        </w:rPr>
        <w:t xml:space="preserve">Source code and deployment will be handed over on receipt of full payment.</w:t>
      </w:r>
    </w:p>
    <w:p>
      <w:pPr>
        <w:pStyle w:val="ListParagraph"/>
        <w:numPr>
          <w:ilvl w:val="0"/>
          <w:numId w:val="2"/>
        </w:numPr>
        <w:spacing w:after="60"/>
      </w:pPr>
      <w:r>
        <w:rPr>
          <w:rFonts w:ascii="Calibri" w:cs="Calibri" w:eastAsia="Calibri" w:hAnsi="Calibri"/>
          <w:sz w:val="21"/>
          <w:szCs w:val="21"/>
        </w:rPr>
        <w:t xml:space="preserve">Support beyond the free 6-month period can be covered under an AMC, quoted separately.</w:t>
      </w:r>
    </w:p>
    <w:p>
      <w:pPr>
        <w:pStyle w:val="ListParagraph"/>
        <w:numPr>
          <w:ilvl w:val="0"/>
          <w:numId w:val="2"/>
        </w:numPr>
        <w:spacing w:after="60"/>
      </w:pPr>
      <w:r>
        <w:rPr>
          <w:rFonts w:ascii="Calibri" w:cs="Calibri" w:eastAsia="Calibri" w:hAnsi="Calibri"/>
          <w:sz w:val="21"/>
          <w:szCs w:val="21"/>
        </w:rPr>
        <w:t xml:space="preserve">All disputes are subject to Bengaluru jurisdiction.</w:t>
      </w:r>
    </w:p>
    <w:p>
      <w:pPr>
        <w:spacing w:after="300" w:before="200"/>
      </w:pPr>
      <w:r>
        <w:rPr>
          <w:rFonts w:ascii="Calibri" w:cs="Calibri" w:eastAsia="Calibri" w:hAnsi="Calibri"/>
          <w:sz w:val="21"/>
          <w:szCs w:val="21"/>
        </w:rPr>
        <w:t xml:space="preserve">We look forward to partnering with Mekhos on this implementation. Kindly issue your purchase order in favour of NextMind Software Solutions (Proprietor: Prakash A.) to commence the engagement.</w:t>
      </w:r>
    </w:p>
    <w:p>
      <w:pPr>
        <w:spacing w:after="60" w:before="0"/>
      </w:pPr>
      <w:r>
        <w:rPr>
          <w:rFonts w:ascii="Calibri" w:cs="Calibri" w:eastAsia="Calibri" w:hAnsi="Calibri"/>
          <w:sz w:val="21"/>
          <w:szCs w:val="21"/>
        </w:rPr>
        <w:t xml:space="preserve">Yours faithfully,</w:t>
      </w:r>
    </w:p>
    <w:p>
      <w:pPr>
        <w:spacing w:after="500" w:before="0"/>
      </w:pPr>
      <w:r>
        <w:rPr>
          <w:rFonts w:ascii="Calibri" w:cs="Calibri" w:eastAsia="Calibri" w:hAnsi="Calibri"/>
          <w:b/>
          <w:bCs/>
          <w:sz w:val="21"/>
          <w:szCs w:val="21"/>
        </w:rPr>
        <w:t xml:space="preserve">For NextMind Software Solutions (Proprietor: Prakash A.)</w:t>
      </w:r>
    </w:p>
    <w:p>
      <w:pPr>
        <w:spacing w:after="40" w:before="0"/>
      </w:pPr>
      <w:r>
        <w:rPr>
          <w:rFonts w:ascii="Calibri" w:cs="Calibri" w:eastAsia="Calibri" w:hAnsi="Calibri"/>
          <w:sz w:val="21"/>
          <w:szCs w:val="21"/>
        </w:rPr>
        <w:t xml:space="preserve">Authorised Signatory</w:t>
      </w:r>
    </w:p>
    <w:p>
      <w:pPr>
        <w:spacing w:after="0" w:before="0"/>
      </w:pPr>
      <w:r>
        <w:rPr>
          <w:rFonts w:ascii="Calibri" w:cs="Calibri" w:eastAsia="Calibri" w:hAnsi="Calibri"/>
          <w:color w:val="666666"/>
          <w:sz w:val="21"/>
          <w:szCs w:val="21"/>
        </w:rPr>
        <w:t xml:space="preserve">Prakash A.  |  Proprietor</w:t>
      </w:r>
    </w:p>
    <w:sectPr>
      <w:pgSz w:w="11906" w:h="16838" w:orient="portrait"/>
      <w:pgMar w:top="1000" w:right="1133" w:bottom="100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2026-08-23T04:32:12.046Z</dcterms:created>
  <dcterms:modified xsi:type="dcterms:W3CDTF">2026-08-23T04:32:12.047Z</dcterms:modified>
</cp:coreProperties>
</file>

<file path=docProps/custom.xml><?xml version="1.0" encoding="utf-8"?>
<Properties xmlns="http://schemas.openxmlformats.org/officeDocument/2006/custom-properties" xmlns:vt="http://schemas.openxmlformats.org/officeDocument/2006/docPropsVTypes"/>
</file>