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0"/>
        </w:rPr>
        <w:t>Al Ghazaly Backend DB &amp; API E2E Test Report</w:t>
      </w:r>
    </w:p>
    <w:p>
      <w:r>
        <w:rPr>
          <w:i/>
        </w:rPr>
        <w:t>Scope: Laravel migrations, seeders, PPDB workflow, role route guards, content APIs, public visibility, and profile endpoint.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Result: </w:t>
      </w:r>
      <w:r>
        <w:t xml:space="preserve">PASS. </w:t>
      </w:r>
      <w:r>
        <w:t>15/15 passed</w:t>
      </w:r>
    </w:p>
    <w:p>
      <w:r>
        <w:t>The database test ran against an isolated SQLite database at /tmp/alghazaly_e2e.sqlite inside the app container. Production MySQL data was not reset or migrated.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120"/>
            <w:shd w:fill="F2F4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t>Test date</w:t>
            </w:r>
          </w:p>
        </w:tc>
        <w:tc>
          <w:tcPr>
            <w:tcW w:type="dxa" w:w="6120"/>
            <w:vAlign w:val="center"/>
          </w:tcPr>
          <w:p>
            <w:r>
              <w:t>2026-06-07 18:26</w:t>
            </w:r>
          </w:p>
        </w:tc>
      </w:tr>
      <w:tr>
        <w:tc>
          <w:tcPr>
            <w:tcW w:type="dxa" w:w="2880"/>
            <w:vAlign w:val="center"/>
          </w:tcPr>
          <w:p>
            <w:r>
              <w:t>Application</w:t>
            </w:r>
          </w:p>
        </w:tc>
        <w:tc>
          <w:tcPr>
            <w:tcW w:type="dxa" w:w="6120"/>
            <w:vAlign w:val="center"/>
          </w:tcPr>
          <w:p>
            <w:r>
              <w:t>Al Ghazaly Laravel backend</w:t>
            </w:r>
          </w:p>
        </w:tc>
      </w:tr>
      <w:tr>
        <w:tc>
          <w:tcPr>
            <w:tcW w:type="dxa" w:w="2880"/>
            <w:vAlign w:val="center"/>
          </w:tcPr>
          <w:p>
            <w:r>
              <w:t>Runtime</w:t>
            </w:r>
          </w:p>
        </w:tc>
        <w:tc>
          <w:tcPr>
            <w:tcW w:type="dxa" w:w="6120"/>
            <w:vAlign w:val="center"/>
          </w:tcPr>
          <w:p>
            <w:r>
              <w:t>Docker container: alghazaly</w:t>
            </w:r>
          </w:p>
        </w:tc>
      </w:tr>
      <w:tr>
        <w:tc>
          <w:tcPr>
            <w:tcW w:type="dxa" w:w="2880"/>
            <w:vAlign w:val="center"/>
          </w:tcPr>
          <w:p>
            <w:r>
              <w:t>Database under test</w:t>
            </w:r>
          </w:p>
        </w:tc>
        <w:tc>
          <w:tcPr>
            <w:tcW w:type="dxa" w:w="6120"/>
            <w:vAlign w:val="center"/>
          </w:tcPr>
          <w:p>
            <w:r>
              <w:t>SQLite temporary database</w:t>
            </w:r>
          </w:p>
        </w:tc>
      </w:tr>
      <w:tr>
        <w:tc>
          <w:tcPr>
            <w:tcW w:type="dxa" w:w="2880"/>
            <w:vAlign w:val="center"/>
          </w:tcPr>
          <w:p>
            <w:r>
              <w:t>Migration/seed result</w:t>
            </w:r>
          </w:p>
        </w:tc>
        <w:tc>
          <w:tcPr>
            <w:tcW w:type="dxa" w:w="6120"/>
            <w:vAlign w:val="center"/>
          </w:tcPr>
          <w:p>
            <w:r>
              <w:t>28 migration/seeder completion lines captured</w:t>
            </w:r>
          </w:p>
        </w:tc>
      </w:tr>
      <w:tr>
        <w:tc>
          <w:tcPr>
            <w:tcW w:type="dxa" w:w="2880"/>
            <w:vAlign w:val="center"/>
          </w:tcPr>
          <w:p>
            <w:r>
              <w:t>E2E result</w:t>
            </w:r>
          </w:p>
        </w:tc>
        <w:tc>
          <w:tcPr>
            <w:tcW w:type="dxa" w:w="6120"/>
            <w:vAlign w:val="center"/>
          </w:tcPr>
          <w:p>
            <w:r>
              <w:t>15/15 passed</w:t>
            </w:r>
          </w:p>
        </w:tc>
      </w:tr>
      <w:tr>
        <w:tc>
          <w:tcPr>
            <w:tcW w:type="dxa" w:w="2880"/>
            <w:vAlign w:val="center"/>
          </w:tcPr>
          <w:p>
            <w:r>
              <w:t>HTTP guard smoke check</w:t>
            </w:r>
          </w:p>
        </w:tc>
        <w:tc>
          <w:tcPr>
            <w:tcW w:type="dxa" w:w="6120"/>
            <w:vAlign w:val="center"/>
          </w:tcPr>
          <w:p>
            <w:r>
              <w:t>HTTP anonymous dashboard: 401</w:t>
              <w:br/>
              <w:t>{"message":"Unauthenticated."}</w:t>
            </w:r>
          </w:p>
        </w:tc>
      </w:tr>
    </w:tbl>
    <w:p>
      <w:pPr>
        <w:pStyle w:val="Heading1"/>
      </w:pPr>
      <w:r>
        <w:t>Validated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152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672"/>
            <w:shd w:fill="F2F4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  <w:shd w:fill="F2F4F7"/>
            <w:vAlign w:val="center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Auth login admin</w:t>
            </w:r>
          </w:p>
        </w:tc>
        <w:tc>
          <w:tcPr>
            <w:tcW w:type="dxa" w:w="4320"/>
            <w:vAlign w:val="center"/>
          </w:tcPr>
          <w:p>
            <w:r>
              <w:t>HTTP 200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Admin token resolves super_admin role</w:t>
            </w:r>
          </w:p>
        </w:tc>
        <w:tc>
          <w:tcPr>
            <w:tcW w:type="dxa" w:w="4320"/>
            <w:vAlign w:val="center"/>
          </w:tcPr>
          <w:p>
            <w:r>
              <w:t>HTTP 200; role=super_admin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Admin dashboard route has auth and role guard</w:t>
            </w:r>
          </w:p>
        </w:tc>
        <w:tc>
          <w:tcPr>
            <w:tcW w:type="dxa" w:w="4320"/>
            <w:vAlign w:val="center"/>
          </w:tcPr>
          <w:p>
            <w:r>
              <w:t>api,auth:sanctum,role:super_admin,admin,operator_ppdb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Content routes require admin/super_admin role</w:t>
            </w:r>
          </w:p>
        </w:tc>
        <w:tc>
          <w:tcPr>
            <w:tcW w:type="dxa" w:w="4320"/>
            <w:vAlign w:val="center"/>
          </w:tcPr>
          <w:p>
            <w:r>
              <w:t>api,auth:sanctum,role:super_admin,admin,operator_ppdb,role:super_admin,admin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User management requires super_admin role</w:t>
            </w:r>
          </w:p>
        </w:tc>
        <w:tc>
          <w:tcPr>
            <w:tcW w:type="dxa" w:w="4320"/>
            <w:vAlign w:val="center"/>
          </w:tcPr>
          <w:p>
            <w:r>
              <w:t>api,auth:sanctum,role:super_admin,admin,operator_ppdb,role:super_admin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PPDB create registration</w:t>
            </w:r>
          </w:p>
        </w:tc>
        <w:tc>
          <w:tcPr>
            <w:tcW w:type="dxa" w:w="4320"/>
            <w:vAlign w:val="center"/>
          </w:tcPr>
          <w:p>
            <w:r>
              <w:t>HTTP 201; status=submitted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PPDB upload document metadata</w:t>
            </w:r>
          </w:p>
        </w:tc>
        <w:tc>
          <w:tcPr>
            <w:tcW w:type="dxa" w:w="4320"/>
            <w:vAlign w:val="center"/>
          </w:tcPr>
          <w:p>
            <w:r>
              <w:t>HTTP 200; status=document_review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PPDB admin verifies document</w:t>
            </w:r>
          </w:p>
        </w:tc>
        <w:tc>
          <w:tcPr>
            <w:tcW w:type="dxa" w:w="4320"/>
            <w:vAlign w:val="center"/>
          </w:tcPr>
          <w:p>
            <w:r>
              <w:t>HTTP 200; registration=verified; document=verified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PPDB free payment becomes paid</w:t>
            </w:r>
          </w:p>
        </w:tc>
        <w:tc>
          <w:tcPr>
            <w:tcW w:type="dxa" w:w="4320"/>
            <w:vAlign w:val="center"/>
          </w:tcPr>
          <w:p>
            <w:r>
              <w:t>HTTP 200; payment=paid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PPDB accepted generates student</w:t>
            </w:r>
          </w:p>
        </w:tc>
        <w:tc>
          <w:tcPr>
            <w:tcW w:type="dxa" w:w="4320"/>
            <w:vAlign w:val="center"/>
          </w:tcPr>
          <w:p>
            <w:r>
              <w:t>HTTP 200; student=1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PPDB public status check</w:t>
            </w:r>
          </w:p>
        </w:tc>
        <w:tc>
          <w:tcPr>
            <w:tcW w:type="dxa" w:w="4320"/>
            <w:vAlign w:val="center"/>
          </w:tcPr>
          <w:p>
            <w:r>
              <w:t>HTTP 200; status=accepted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Admin creates published event post</w:t>
            </w:r>
          </w:p>
        </w:tc>
        <w:tc>
          <w:tcPr>
            <w:tcW w:type="dxa" w:w="4320"/>
            <w:vAlign w:val="center"/>
          </w:tcPr>
          <w:p>
            <w:r>
              <w:t>HTTP 201; slug=agenda-e2e-qvcbmr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Public event listing returns published event</w:t>
            </w:r>
          </w:p>
        </w:tc>
        <w:tc>
          <w:tcPr>
            <w:tcW w:type="dxa" w:w="4320"/>
            <w:vAlign w:val="center"/>
          </w:tcPr>
          <w:p>
            <w:r>
              <w:t>HTTP 200; found=yes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Public settings excludes private bank keys</w:t>
            </w:r>
          </w:p>
        </w:tc>
        <w:tc>
          <w:tcPr>
            <w:tcW w:type="dxa" w:w="4320"/>
            <w:vAlign w:val="center"/>
          </w:tcPr>
          <w:p>
            <w:r>
              <w:t>HTTP 200; bank_name_present=no</w:t>
            </w:r>
          </w:p>
        </w:tc>
      </w:tr>
      <w:tr>
        <w:tc>
          <w:tcPr>
            <w:tcW w:type="dxa" w:w="1152"/>
            <w:shd w:fill="EAF5EA"/>
            <w:vAlign w:val="center"/>
          </w:tcPr>
          <w:p>
            <w:r>
              <w:t>PASS</w:t>
            </w:r>
          </w:p>
        </w:tc>
        <w:tc>
          <w:tcPr>
            <w:tcW w:type="dxa" w:w="3672"/>
            <w:vAlign w:val="center"/>
          </w:tcPr>
          <w:p>
            <w:r>
              <w:t>Public profile endpoint responds</w:t>
            </w:r>
          </w:p>
        </w:tc>
        <w:tc>
          <w:tcPr>
            <w:tcW w:type="dxa" w:w="4320"/>
            <w:vAlign w:val="center"/>
          </w:tcPr>
          <w:p>
            <w:r>
              <w:t>HTTP 200</w:t>
            </w:r>
          </w:p>
        </w:tc>
      </w:tr>
    </w:tbl>
    <w:p>
      <w:pPr>
        <w:pStyle w:val="Heading1"/>
      </w:pPr>
      <w:r>
        <w:t>Migration And Seeder Check</w:t>
      </w:r>
    </w:p>
    <w:p>
      <w:r>
        <w:t>The test executed php artisan migrate:fresh --seed --force using the isolated SQLite test database. All migrations and seeders completed without error.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2160"/>
            <w:shd w:fill="F2F4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840"/>
            <w:shd w:fill="F2F4F7"/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  <w:vAlign w:val="center"/>
          </w:tcPr>
          <w:p>
            <w:r>
              <w:t>Migrations</w:t>
            </w:r>
          </w:p>
        </w:tc>
        <w:tc>
          <w:tcPr>
            <w:tcW w:type="dxa" w:w="6840"/>
            <w:vAlign w:val="center"/>
          </w:tcPr>
          <w:p>
            <w:r>
              <w:t>Users, roles, content, media, forms, PPDB, payments, students, teachers, albums, testimonials, and alumni tables migrated.</w:t>
            </w:r>
          </w:p>
        </w:tc>
      </w:tr>
      <w:tr>
        <w:tc>
          <w:tcPr>
            <w:tcW w:type="dxa" w:w="2160"/>
            <w:vAlign w:val="center"/>
          </w:tcPr>
          <w:p>
            <w:r>
              <w:t>Seeders</w:t>
            </w:r>
          </w:p>
        </w:tc>
        <w:tc>
          <w:tcPr>
            <w:tcW w:type="dxa" w:w="6840"/>
            <w:vAlign w:val="center"/>
          </w:tcPr>
          <w:p>
            <w:r>
              <w:t>RoleSeeder, AdminUserSeeder, SettingSeeder, and CategorySeeder completed.</w:t>
            </w:r>
          </w:p>
        </w:tc>
      </w:tr>
      <w:tr>
        <w:tc>
          <w:tcPr>
            <w:tcW w:type="dxa" w:w="2160"/>
            <w:vAlign w:val="center"/>
          </w:tcPr>
          <w:p>
            <w:r>
              <w:t>Route count</w:t>
            </w:r>
          </w:p>
        </w:tc>
        <w:tc>
          <w:tcPr>
            <w:tcW w:type="dxa" w:w="6840"/>
            <w:vAlign w:val="center"/>
          </w:tcPr>
          <w:p>
            <w:r>
              <w:t>76 routes available after the latest controller and workflow changes.</w:t>
            </w:r>
          </w:p>
        </w:tc>
      </w:tr>
    </w:tbl>
    <w:p>
      <w:pPr>
        <w:pStyle w:val="Heading1"/>
      </w:pPr>
      <w:r>
        <w:t>Notes And Follow-Up</w:t>
      </w:r>
    </w:p>
    <w:p>
      <w:pPr>
        <w:pStyle w:val="ListBullet"/>
      </w:pPr>
      <w:r>
        <w:t>The test intentionally avoided migrate:fresh on production MySQL.</w:t>
      </w:r>
    </w:p>
    <w:p>
      <w:pPr>
        <w:pStyle w:val="ListBullet"/>
      </w:pPr>
      <w:r>
        <w:t>Midtrans Snap was not live-tested with a real server key; the tested PPDB payment path used zero-fee auto-paid behavior.</w:t>
      </w:r>
    </w:p>
    <w:p>
      <w:pPr>
        <w:pStyle w:val="ListBullet"/>
      </w:pPr>
      <w:r>
        <w:t>Laravel cache files should be cleared or rebuilt after deployment because previous bootstrap/cache files contained stale Docker paths.</w:t>
      </w:r>
    </w:p>
    <w:p>
      <w:pPr>
        <w:pStyle w:val="ListBullet"/>
      </w:pPr>
      <w:r>
        <w:t>Next useful test is a real HTTP run against a dedicated MySQL staging database with Midtrans sandbox credentials.</w:t>
      </w:r>
    </w:p>
    <w:p>
      <w:pPr>
        <w:pStyle w:val="ListBullet"/>
      </w:pPr>
      <w:r>
        <w:t>DOCX structural QA passed; visual render QA was unavailable because LibreOffice/soffice was not installed in the available runtimes.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Al Ghazaly backend test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