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Week 4 — P&amp;L Analysis &amp; Benchmark Comparison</w:t>
      </w:r>
    </w:p>
    <w:p>
      <w:r>
        <w:rPr>
          <w:b/>
        </w:rPr>
        <w:t>Prepared:</w:t>
      </w:r>
      <w:r>
        <w:t xml:space="preserve"> July 26, 2026</w:t>
      </w:r>
    </w:p>
    <w:p>
      <w:r>
        <w:rPr>
          <w:b/>
        </w:rPr>
        <w:t>Plan reference:</w:t>
      </w:r>
      <w:r>
        <w:t xml:space="preserve"> [Week 4 — Measure &amp; Recost](master-plan-weekly-priorities.md#week-4--measure--recost-foundation)</w:t>
      </w:r>
    </w:p>
    <w:p>
      <w:r>
        <w:rPr>
          <w:b/>
        </w:rPr>
        <w:t>Benchmarks:</w:t>
      </w:r>
      <w:r>
        <w:t xml:space="preserve"> [industry-benchmarks.md](strategy/industry-benchmarks.md) · [revenue-baseline-2026-ytd.md](strategy/revenue-baseline-2026-ytd.md)</w:t>
      </w:r>
    </w:p>
    <w:p>
      <w:pPr>
        <w:pStyle w:val="Heading1"/>
      </w:pPr>
      <w:r>
        <w:t>Executive Summary</w:t>
      </w:r>
    </w:p>
    <w:p>
      <w:r>
        <w:t xml:space="preserve">Dandelion is a </w:t>
      </w:r>
      <w:r>
        <w:rPr>
          <w:b/>
        </w:rPr>
        <w:t>~$300K independent florist</w:t>
      </w:r>
      <w:r>
        <w:t xml:space="preserve"> — right in the healthy revenue band — with a </w:t>
      </w:r>
      <w:r>
        <w:rPr>
          <w:b/>
        </w:rPr>
        <w:t>two-channel business</w:t>
      </w:r>
      <w:r>
        <w:t xml:space="preserve"> (Square in-store ~55% / Squarespace online ~45%). The numbers tell a clear story: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E8F4E8" w:val="clear"/>
          </w:tcPr>
          <w:p>
            <w:r>
              <w:rPr>
                <w:b/>
                <w:sz w:val="18"/>
              </w:rPr>
              <w:t>Finding</w:t>
            </w:r>
          </w:p>
        </w:tc>
        <w:tc>
          <w:tcPr>
            <w:tcW w:type="dxa" w:w="4680"/>
            <w:shd w:fill="E8F4E8" w:val="clear"/>
          </w:tcPr>
          <w:p>
            <w:r>
              <w:rPr>
                <w:b/>
                <w:sz w:val="18"/>
              </w:rPr>
              <w:t>Detail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Gross margin is the #1 gap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38–44% actual vs 62–68% Alameda target. Wholesale/flowers spend is 49–55% of revenue vs 28–35% benchmark.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Ops profit is healthy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Net ops margin 12–19% (2023–2025) vs 10–14% target — overhead is lean at 22.5% of revenue.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Online AOV is on target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Squarespace median $121 total / $95 subtotal — already hits the $95+ goal.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In-store AOV is the leak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Square median $49 vs online $121. Same shop, same flowers — counter is leaving ~$40/order on the table.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Card attach is ~0%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0.2–0.6% online attach on a $6.50 SKU vs 25–30% target.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Repeat rate below target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21% (Squarespace emails) / 31% (Square) vs 40%+ Alameda goal.</w:t>
            </w:r>
          </w:p>
        </w:tc>
      </w:tr>
    </w:tbl>
    <w:p/>
    <w:p>
      <w:pPr>
        <w:pStyle w:val="Heading2"/>
      </w:pPr>
      <w:r>
        <w:t>Two focus metrics for the next 8 weeks</w:t>
      </w:r>
    </w:p>
    <w:p>
      <w:pPr>
        <w:pStyle w:val="ListNumber"/>
      </w:pPr>
      <w:r>
        <w:rPr>
          <w:b/>
        </w:rPr>
        <w:t>Gross margin %</w:t>
      </w:r>
      <w:r>
        <w:t xml:space="preserve"> (product COGS) — move from ~40% toward </w:t>
      </w:r>
      <w:r>
        <w:rPr>
          <w:b/>
        </w:rPr>
        <w:t>50%+</w:t>
      </w:r>
      <w:r>
        <w:t xml:space="preserve"> via recosting top SKUs, pricing fixes, and cleaner COGS coding</w:t>
      </w:r>
    </w:p>
    <w:p>
      <w:pPr>
        <w:pStyle w:val="ListNumber"/>
      </w:pPr>
      <w:r>
        <w:rPr>
          <w:b/>
        </w:rPr>
        <w:t>In-store AOV</w:t>
      </w:r>
      <w:r>
        <w:t xml:space="preserve"> (Square median) — move from </w:t>
      </w:r>
      <w:r>
        <w:rPr>
          <w:b/>
        </w:rPr>
        <w:t>$49</w:t>
      </w:r>
      <w:r>
        <w:t xml:space="preserve"> toward </w:t>
      </w:r>
      <w:r>
        <w:rPr>
          <w:b/>
        </w:rPr>
        <w:t>$75+</w:t>
      </w:r>
      <w:r>
        <w:t xml:space="preserve"> by mirroring the online hero price ladder at the counter</w:t>
      </w:r>
    </w:p>
    <w:p>
      <w:pPr>
        <w:pStyle w:val="Heading1"/>
      </w:pPr>
      <w:r>
        <w:t>1. Annual P&amp;L (Bank + CC — Original Classification)</w:t>
      </w:r>
    </w:p>
    <w:p>
      <w:r>
        <w:t>Sources: Bank of Marin, Capital One, `2024.xlsx`, `2025 v3.xlsx`</w:t>
      </w:r>
    </w:p>
    <w:p>
      <w:r>
        <w:t>Rebuild: `python3 scripts/build_forensic_pl.py`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1170"/>
            <w:shd w:fill="E8F4E8" w:val="clear"/>
          </w:tcPr>
          <w:p>
            <w:r>
              <w:rPr>
                <w:b/>
                <w:sz w:val="18"/>
              </w:rPr>
              <w:t>Year</w:t>
            </w:r>
          </w:p>
        </w:tc>
        <w:tc>
          <w:tcPr>
            <w:tcW w:type="dxa" w:w="1170"/>
            <w:shd w:fill="E8F4E8" w:val="clear"/>
          </w:tcPr>
          <w:p>
            <w:r>
              <w:rPr>
                <w:b/>
                <w:sz w:val="18"/>
              </w:rPr>
              <w:t>Revenue</w:t>
            </w:r>
          </w:p>
        </w:tc>
        <w:tc>
          <w:tcPr>
            <w:tcW w:type="dxa" w:w="1170"/>
            <w:shd w:fill="E8F4E8" w:val="clear"/>
          </w:tcPr>
          <w:p>
            <w:r>
              <w:rPr>
                <w:b/>
                <w:sz w:val="18"/>
              </w:rPr>
              <w:t>Gross Profit</w:t>
            </w:r>
          </w:p>
        </w:tc>
        <w:tc>
          <w:tcPr>
            <w:tcW w:type="dxa" w:w="1170"/>
            <w:shd w:fill="E8F4E8" w:val="clear"/>
          </w:tcPr>
          <w:p>
            <w:r>
              <w:rPr>
                <w:b/>
                <w:sz w:val="18"/>
              </w:rPr>
              <w:t>GP %</w:t>
            </w:r>
          </w:p>
        </w:tc>
        <w:tc>
          <w:tcPr>
            <w:tcW w:type="dxa" w:w="1170"/>
            <w:shd w:fill="E8F4E8" w:val="clear"/>
          </w:tcPr>
          <w:p>
            <w:r>
              <w:rPr>
                <w:b/>
                <w:sz w:val="18"/>
              </w:rPr>
              <w:t>Net Ops</w:t>
            </w:r>
          </w:p>
        </w:tc>
        <w:tc>
          <w:tcPr>
            <w:tcW w:type="dxa" w:w="1170"/>
            <w:shd w:fill="E8F4E8" w:val="clear"/>
          </w:tcPr>
          <w:p>
            <w:r>
              <w:rPr>
                <w:b/>
                <w:sz w:val="18"/>
              </w:rPr>
              <w:t>Net Ops %</w:t>
            </w:r>
          </w:p>
        </w:tc>
        <w:tc>
          <w:tcPr>
            <w:tcW w:type="dxa" w:w="1170"/>
            <w:shd w:fill="E8F4E8" w:val="clear"/>
          </w:tcPr>
          <w:p>
            <w:r>
              <w:rPr>
                <w:b/>
                <w:sz w:val="18"/>
              </w:rPr>
              <w:t>Total Net</w:t>
            </w:r>
          </w:p>
        </w:tc>
        <w:tc>
          <w:tcPr>
            <w:tcW w:type="dxa" w:w="1170"/>
            <w:shd w:fill="E8F4E8" w:val="clear"/>
          </w:tcPr>
          <w:p>
            <w:r>
              <w:rPr>
                <w:b/>
                <w:sz w:val="18"/>
              </w:rPr>
              <w:t>Total NP %</w:t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  <w:t>2023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$333,737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$115,032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34.5%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$61,715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18.5%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$53,032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15.9%</w:t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  <w:t>2024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$282,530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$116,579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41.3%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$34,619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12.3%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($23,134)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-8.2%</w:t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  <w:t>2025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$299,115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$114,045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38.1%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$46,609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15.6%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($1,845)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-0.6%</w:t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  <w:t>2026 YTD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$184,160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$53,680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29.1%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$20,794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11.3%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$2,054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1.1%</w:t>
            </w:r>
          </w:p>
        </w:tc>
      </w:tr>
    </w:tbl>
    <w:p/>
    <w:p>
      <w:r>
        <w:rPr>
          <w:i/>
          <w:sz w:val="20"/>
        </w:rPr>
        <w:t>2025 workbook cross-check: Revenue $299,115 · GP $97,485 (32.6%) · Net Ops $46,609 (15.6%) — matches bank P&amp;L.</w:t>
      </w:r>
    </w:p>
    <w:p>
      <w:pPr>
        <w:pStyle w:val="Heading2"/>
      </w:pPr>
      <w:r>
        <w:t>Product margin (excludes sales tax from COGS)</w:t>
      </w:r>
    </w:p>
    <w:p>
      <w:r>
        <w:t>Industry benchmarks measure flowers + materials + merchandise only — not CDTFA remittances.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E8F4E8" w:val="clear"/>
          </w:tcPr>
          <w:p>
            <w:r>
              <w:rPr>
                <w:b/>
                <w:sz w:val="18"/>
              </w:rPr>
              <w:t>Year</w:t>
            </w:r>
          </w:p>
        </w:tc>
        <w:tc>
          <w:tcPr>
            <w:tcW w:type="dxa" w:w="1872"/>
            <w:shd w:fill="E8F4E8" w:val="clear"/>
          </w:tcPr>
          <w:p>
            <w:r>
              <w:rPr>
                <w:b/>
                <w:sz w:val="18"/>
              </w:rPr>
              <w:t>Product COGS</w:t>
            </w:r>
          </w:p>
        </w:tc>
        <w:tc>
          <w:tcPr>
            <w:tcW w:type="dxa" w:w="1872"/>
            <w:shd w:fill="E8F4E8" w:val="clear"/>
          </w:tcPr>
          <w:p>
            <w:r>
              <w:rPr>
                <w:b/>
                <w:sz w:val="18"/>
              </w:rPr>
              <w:t>% of Rev</w:t>
            </w:r>
          </w:p>
        </w:tc>
        <w:tc>
          <w:tcPr>
            <w:tcW w:type="dxa" w:w="1872"/>
            <w:shd w:fill="E8F4E8" w:val="clear"/>
          </w:tcPr>
          <w:p>
            <w:r>
              <w:rPr>
                <w:b/>
                <w:sz w:val="18"/>
              </w:rPr>
              <w:t>Adjusted GP %</w:t>
            </w:r>
          </w:p>
        </w:tc>
        <w:tc>
          <w:tcPr>
            <w:tcW w:type="dxa" w:w="1872"/>
            <w:shd w:fill="E8F4E8" w:val="clear"/>
          </w:tcPr>
          <w:p>
            <w:r>
              <w:rPr>
                <w:b/>
                <w:sz w:val="18"/>
              </w:rPr>
              <w:t>vs. 62–68% target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2023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$199,962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59.9%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40.1%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−22 to −28 pts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2024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$158,992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56.3%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43.7%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−18 to −24 pts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2025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$179,275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59.9%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40.1%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−22 to −28 pts</w:t>
            </w:r>
          </w:p>
        </w:tc>
      </w:tr>
    </w:tbl>
    <w:p/>
    <w:p>
      <w:pPr>
        <w:pStyle w:val="Heading2"/>
      </w:pPr>
      <w:r>
        <w:t>Reclassified view (2025 stress test)</w:t>
      </w:r>
    </w:p>
    <w:p>
      <w:r>
        <w:t>Forensic reclassification removes $22.5K transfers miscoded as income and reassigns personal/non-flower items. See [forensic-classification-review.xlsx](forensic-classification-review.xlsx).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E8F4E8" w:val="clear"/>
          </w:tcPr>
          <w:p>
            <w:r>
              <w:rPr>
                <w:b/>
                <w:sz w:val="18"/>
              </w:rPr>
              <w:t>Metric</w:t>
            </w:r>
          </w:p>
        </w:tc>
        <w:tc>
          <w:tcPr>
            <w:tcW w:type="dxa" w:w="3120"/>
            <w:shd w:fill="E8F4E8" w:val="clear"/>
          </w:tcPr>
          <w:p>
            <w:r>
              <w:rPr>
                <w:b/>
                <w:sz w:val="18"/>
              </w:rPr>
              <w:t>Original</w:t>
            </w:r>
          </w:p>
        </w:tc>
        <w:tc>
          <w:tcPr>
            <w:tcW w:type="dxa" w:w="3120"/>
            <w:shd w:fill="E8F4E8" w:val="clear"/>
          </w:tcPr>
          <w:p>
            <w:r>
              <w:rPr>
                <w:b/>
                <w:sz w:val="18"/>
              </w:rPr>
              <w:t>Reclassified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Revenue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$299,115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$276,591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GP %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38.1%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25.8%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Net Ops %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15.6%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5.6%</w:t>
            </w:r>
          </w:p>
        </w:tc>
      </w:tr>
    </w:tbl>
    <w:p/>
    <w:p>
      <w:r>
        <w:t>Use original for day-to-day ops; use reclassified to stress-test worst-case margin.</w:t>
      </w:r>
    </w:p>
    <w:p>
      <w:pPr>
        <w:pStyle w:val="Heading1"/>
      </w:pPr>
      <w:r>
        <w:t>2. Benchmark Scorecard — Actuals vs. Alameda Targets</w:t>
      </w:r>
    </w:p>
    <w:p>
      <w:r>
        <w:t>Full table: [strategy/benchmark-comparison.csv](strategy/benchmark-comparison.csv)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E8F4E8" w:val="clear"/>
          </w:tcPr>
          <w:p>
            <w:r>
              <w:rPr>
                <w:b/>
                <w:sz w:val="18"/>
              </w:rPr>
              <w:t>Metric</w:t>
            </w:r>
          </w:p>
        </w:tc>
        <w:tc>
          <w:tcPr>
            <w:tcW w:type="dxa" w:w="1560"/>
            <w:shd w:fill="E8F4E8" w:val="clear"/>
          </w:tcPr>
          <w:p>
            <w:r>
              <w:rPr>
                <w:b/>
                <w:sz w:val="18"/>
              </w:rPr>
              <w:t>National</w:t>
            </w:r>
          </w:p>
        </w:tc>
        <w:tc>
          <w:tcPr>
            <w:tcW w:type="dxa" w:w="1560"/>
            <w:shd w:fill="E8F4E8" w:val="clear"/>
          </w:tcPr>
          <w:p>
            <w:r>
              <w:rPr>
                <w:b/>
                <w:sz w:val="18"/>
              </w:rPr>
              <w:t>Alameda target</w:t>
            </w:r>
          </w:p>
        </w:tc>
        <w:tc>
          <w:tcPr>
            <w:tcW w:type="dxa" w:w="1560"/>
            <w:shd w:fill="E8F4E8" w:val="clear"/>
          </w:tcPr>
          <w:p>
            <w:r>
              <w:rPr>
                <w:b/>
                <w:sz w:val="18"/>
              </w:rPr>
              <w:t>90-day plan</w:t>
            </w:r>
          </w:p>
        </w:tc>
        <w:tc>
          <w:tcPr>
            <w:tcW w:type="dxa" w:w="1560"/>
            <w:shd w:fill="E8F4E8" w:val="clear"/>
          </w:tcPr>
          <w:p>
            <w:r>
              <w:rPr>
                <w:b/>
                <w:sz w:val="18"/>
              </w:rPr>
              <w:t>2025 actual</w:t>
            </w:r>
          </w:p>
        </w:tc>
        <w:tc>
          <w:tcPr>
            <w:tcW w:type="dxa" w:w="1560"/>
            <w:shd w:fill="E8F4E8" w:val="clear"/>
          </w:tcPr>
          <w:p>
            <w:r>
              <w:rPr>
                <w:b/>
                <w:sz w:val="18"/>
              </w:rPr>
              <w:t>Status</w:t>
            </w:r>
          </w:p>
        </w:tc>
      </w:tr>
      <w:tr>
        <w:tc>
          <w:tcPr>
            <w:tcW w:type="dxa" w:w="1560"/>
          </w:tcPr>
          <w:p>
            <w:r>
              <w:rPr>
                <w:sz w:val="18"/>
              </w:rPr>
              <w:t>Annual revenue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$300–500K healthy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$299K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On scale</w:t>
            </w:r>
          </w:p>
        </w:tc>
      </w:tr>
      <w:tr>
        <w:tc>
          <w:tcPr>
            <w:tcW w:type="dxa" w:w="1560"/>
          </w:tcPr>
          <w:p>
            <w:r>
              <w:rPr>
                <w:sz w:val="18"/>
              </w:rPr>
              <w:t>Gross margin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65–72%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62–68%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60%+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38–44%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Critical</w:t>
            </w:r>
          </w:p>
        </w:tc>
      </w:tr>
      <w:tr>
        <w:tc>
          <w:tcPr>
            <w:tcW w:type="dxa" w:w="1560"/>
          </w:tcPr>
          <w:p>
            <w:r>
              <w:rPr>
                <w:sz w:val="18"/>
              </w:rPr>
              <w:t>Net ops margin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8–15%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10–14%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15.6%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Above target</w:t>
            </w:r>
          </w:p>
        </w:tc>
      </w:tr>
      <w:tr>
        <w:tc>
          <w:tcPr>
            <w:tcW w:type="dxa" w:w="1560"/>
          </w:tcPr>
          <w:p>
            <w:r>
              <w:rPr>
                <w:sz w:val="18"/>
              </w:rPr>
              <w:t>Total net margin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8–15%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10–14%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−0.6%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Personal bleed</w:t>
            </w:r>
          </w:p>
        </w:tc>
      </w:tr>
      <w:tr>
        <w:tc>
          <w:tcPr>
            <w:tcW w:type="dxa" w:w="1560"/>
          </w:tcPr>
          <w:p>
            <w:r>
              <w:rPr>
                <w:sz w:val="18"/>
              </w:rPr>
              <w:t>Wholesale/flowers % rev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28–35%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28–35%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54.5%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~2× benchmark</w:t>
            </w:r>
          </w:p>
        </w:tc>
      </w:tr>
      <w:tr>
        <w:tc>
          <w:tcPr>
            <w:tcW w:type="dxa" w:w="1560"/>
          </w:tcPr>
          <w:p>
            <w:r>
              <w:rPr>
                <w:sz w:val="18"/>
              </w:rPr>
              <w:t>Online AOV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$65–90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$85–115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$95+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$128 total / $114 subtotal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Above target</w:t>
            </w:r>
          </w:p>
        </w:tc>
      </w:tr>
      <w:tr>
        <w:tc>
          <w:tcPr>
            <w:tcW w:type="dxa" w:w="1560"/>
          </w:tcPr>
          <w:p>
            <w:r>
              <w:rPr>
                <w:sz w:val="18"/>
              </w:rPr>
              <w:t>In-store AOV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$65–90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$85–115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$95+ blend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~$66 mean / $49 median (2026)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Well below</w:t>
            </w:r>
          </w:p>
        </w:tc>
      </w:tr>
      <w:tr>
        <w:tc>
          <w:tcPr>
            <w:tcW w:type="dxa" w:w="1560"/>
          </w:tcPr>
          <w:p>
            <w:r>
              <w:rPr>
                <w:sz w:val="18"/>
              </w:rPr>
              <w:t>Blended AOV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$95+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$95+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~$82 est.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Below target</w:t>
            </w:r>
          </w:p>
        </w:tc>
      </w:tr>
      <w:tr>
        <w:tc>
          <w:tcPr>
            <w:tcW w:type="dxa" w:w="1560"/>
          </w:tcPr>
          <w:p>
            <w:r>
              <w:rPr>
                <w:sz w:val="18"/>
              </w:rPr>
              <w:t>Repeat customer rate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22–35%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40%+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35%+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21% SS / 31% Sq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Below target</w:t>
            </w:r>
          </w:p>
        </w:tc>
      </w:tr>
      <w:tr>
        <w:tc>
          <w:tcPr>
            <w:tcW w:type="dxa" w:w="1560"/>
          </w:tcPr>
          <w:p>
            <w:r>
              <w:rPr>
                <w:sz w:val="18"/>
              </w:rPr>
              <w:t>Card attach rate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25–40%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30%+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25%+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0.2%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Critical</w:t>
            </w:r>
          </w:p>
        </w:tc>
      </w:tr>
      <w:tr>
        <w:tc>
          <w:tcPr>
            <w:tcW w:type="dxa" w:w="1560"/>
          </w:tcPr>
          <w:p>
            <w:r>
              <w:rPr>
                <w:sz w:val="18"/>
              </w:rPr>
              <w:t>Active subscriptions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Grow 20% YoY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+10%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9 orders (2025)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Minimal</w:t>
            </w:r>
          </w:p>
        </w:tc>
      </w:tr>
      <w:tr>
        <w:tc>
          <w:tcPr>
            <w:tcW w:type="dxa" w:w="1560"/>
          </w:tcPr>
          <w:p>
            <w:r>
              <w:rPr>
                <w:sz w:val="18"/>
              </w:rPr>
              <w:t>Payroll % revenue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28–35%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28–35%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6.8% (Venmo only)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Under-reported</w:t>
            </w:r>
          </w:p>
        </w:tc>
      </w:tr>
    </w:tbl>
    <w:p/>
    <w:p>
      <w:pPr>
        <w:pStyle w:val="Heading1"/>
      </w:pPr>
      <w:r>
        <w:t>3. Channel Analysis (Order-Level Data)</w:t>
      </w:r>
    </w:p>
    <w:p>
      <w:r>
        <w:t>Sources: [data/revenue/](../data/revenue/) · [revenue-baseline-2026-ytd.md](strategy/revenue-baseline-2026-ytd.md)</w:t>
      </w:r>
    </w:p>
    <w:p>
      <w:pPr>
        <w:pStyle w:val="Heading2"/>
      </w:pPr>
      <w:r>
        <w:t>2026 YTD channel split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E8F4E8" w:val="clear"/>
          </w:tcPr>
          <w:p>
            <w:r>
              <w:rPr>
                <w:b/>
                <w:sz w:val="18"/>
              </w:rPr>
              <w:t>Channel</w:t>
            </w:r>
          </w:p>
        </w:tc>
        <w:tc>
          <w:tcPr>
            <w:tcW w:type="dxa" w:w="1872"/>
            <w:shd w:fill="E8F4E8" w:val="clear"/>
          </w:tcPr>
          <w:p>
            <w:r>
              <w:rPr>
                <w:b/>
                <w:sz w:val="18"/>
              </w:rPr>
              <w:t>Net sales</w:t>
            </w:r>
          </w:p>
        </w:tc>
        <w:tc>
          <w:tcPr>
            <w:tcW w:type="dxa" w:w="1872"/>
            <w:shd w:fill="E8F4E8" w:val="clear"/>
          </w:tcPr>
          <w:p>
            <w:r>
              <w:rPr>
                <w:b/>
                <w:sz w:val="18"/>
              </w:rPr>
              <w:t>Orders</w:t>
            </w:r>
          </w:p>
        </w:tc>
        <w:tc>
          <w:tcPr>
            <w:tcW w:type="dxa" w:w="1872"/>
            <w:shd w:fill="E8F4E8" w:val="clear"/>
          </w:tcPr>
          <w:p>
            <w:r>
              <w:rPr>
                <w:b/>
                <w:sz w:val="18"/>
              </w:rPr>
              <w:t>Mean AOV</w:t>
            </w:r>
          </w:p>
        </w:tc>
        <w:tc>
          <w:tcPr>
            <w:tcW w:type="dxa" w:w="1872"/>
            <w:shd w:fill="E8F4E8" w:val="clear"/>
          </w:tcPr>
          <w:p>
            <w:r>
              <w:rPr>
                <w:b/>
                <w:sz w:val="18"/>
              </w:rPr>
              <w:t>Median AOV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Square (in-store + invoices)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$111,578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1,680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$66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$49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Squarespace (online via Stripe)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$89,835 total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678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$133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$121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Squarespace product subtotal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$73,212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678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$108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$95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Combined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~$185K product-ish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—</w:t>
            </w:r>
          </w:p>
        </w:tc>
      </w:tr>
    </w:tbl>
    <w:p/>
    <w:p>
      <w:r>
        <w:t xml:space="preserve">Online is </w:t>
      </w:r>
      <w:r>
        <w:rPr>
          <w:b/>
        </w:rPr>
        <w:t>~40–45%</w:t>
      </w:r>
      <w:r>
        <w:t xml:space="preserve"> of measurable product revenue — not a side channel.</w:t>
      </w:r>
    </w:p>
    <w:p>
      <w:pPr>
        <w:pStyle w:val="Heading2"/>
      </w:pPr>
      <w:r>
        <w:t>2025 full-year online (Squarespace)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E8F4E8" w:val="clear"/>
          </w:tcPr>
          <w:p>
            <w:r>
              <w:rPr>
                <w:b/>
                <w:sz w:val="18"/>
              </w:rPr>
              <w:t>Metric</w:t>
            </w:r>
          </w:p>
        </w:tc>
        <w:tc>
          <w:tcPr>
            <w:tcW w:type="dxa" w:w="3120"/>
            <w:shd w:fill="E8F4E8" w:val="clear"/>
          </w:tcPr>
          <w:p>
            <w:r>
              <w:rPr>
                <w:b/>
                <w:sz w:val="18"/>
              </w:rPr>
              <w:t>Value</w:t>
            </w:r>
          </w:p>
        </w:tc>
        <w:tc>
          <w:tcPr>
            <w:tcW w:type="dxa" w:w="3120"/>
            <w:shd w:fill="E8F4E8" w:val="clear"/>
          </w:tcPr>
          <w:p>
            <w:r>
              <w:rPr>
                <w:b/>
                <w:sz w:val="18"/>
              </w:rPr>
              <w:t>vs. benchmark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Paid orders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829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Order total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$106,459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AOV (total)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$128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Above $85–115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AOV (subtotal)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$114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On target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Card attach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0.2% (2 orders)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vs 30% target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Subscription orders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9 (~$4K)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Minimal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Sympathy orders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~50 named SKUs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Material channel</w:t>
            </w:r>
          </w:p>
        </w:tc>
      </w:tr>
    </w:tbl>
    <w:p/>
    <w:p>
      <w:pPr>
        <w:pStyle w:val="Heading2"/>
      </w:pPr>
      <w:r>
        <w:t>In-store vs. online — the AOV gap</w:t>
      </w:r>
    </w:p>
    <w:p>
      <w:pPr>
        <w:pStyle w:val="NoSpacing"/>
      </w:pPr>
      <w:r>
        <w:rPr>
          <w:rFonts w:ascii="Consolas" w:hAnsi="Consolas"/>
          <w:color w:val="333333"/>
          <w:sz w:val="18"/>
        </w:rPr>
        <w:t>Online median AOV    ████████████████████████  $121</w:t>
      </w:r>
    </w:p>
    <w:p>
      <w:pPr>
        <w:pStyle w:val="NoSpacing"/>
      </w:pPr>
      <w:r>
        <w:rPr>
          <w:rFonts w:ascii="Consolas" w:hAnsi="Consolas"/>
          <w:color w:val="333333"/>
          <w:sz w:val="18"/>
        </w:rPr>
        <w:t>Alameda target       ██████████████████        $95</w:t>
      </w:r>
    </w:p>
    <w:p>
      <w:pPr>
        <w:pStyle w:val="NoSpacing"/>
      </w:pPr>
      <w:r>
        <w:rPr>
          <w:rFonts w:ascii="Consolas" w:hAnsi="Consolas"/>
          <w:color w:val="333333"/>
          <w:sz w:val="18"/>
        </w:rPr>
        <w:t>In-store median AOV  ██████████                $49</w:t>
      </w:r>
    </w:p>
    <w:p>
      <w:r>
        <w:t xml:space="preserve">Same flowers, same shop — the counter is selling at roughly </w:t>
      </w:r>
      <w:r>
        <w:rPr>
          <w:b/>
        </w:rPr>
        <w:t>half</w:t>
      </w:r>
      <w:r>
        <w:t xml:space="preserve"> the online ticket. The online hero ladder (Touch of Honey $65 → Love Poem $85 → Moon $95 → TLC $140) is not reflected in POS naming (price-named SKUs like "20" and "45 bouquet" dominate).</w:t>
      </w:r>
    </w:p>
    <w:p>
      <w:r>
        <w:rPr>
          <w:b/>
        </w:rPr>
        <w:t>Impact math:</w:t>
      </w:r>
      <w:r>
        <w:t xml:space="preserve"> Lifting half of ~1,000 sub-$60 Square tickets by $20 ≈ </w:t>
      </w:r>
      <w:r>
        <w:rPr>
          <w:b/>
        </w:rPr>
        <w:t>+$10K</w:t>
      </w:r>
      <w:r>
        <w:t xml:space="preserve"> on similar YTD traffic.</w:t>
      </w:r>
    </w:p>
    <w:p>
      <w:pPr>
        <w:pStyle w:val="Heading2"/>
      </w:pPr>
      <w:r>
        <w:t>Payment channel mix (2025 bank P&amp;L)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E8F4E8" w:val="clear"/>
          </w:tcPr>
          <w:p>
            <w:r>
              <w:rPr>
                <w:b/>
                <w:sz w:val="18"/>
              </w:rPr>
              <w:t>Channel</w:t>
            </w:r>
          </w:p>
        </w:tc>
        <w:tc>
          <w:tcPr>
            <w:tcW w:type="dxa" w:w="3120"/>
            <w:shd w:fill="E8F4E8" w:val="clear"/>
          </w:tcPr>
          <w:p>
            <w:r>
              <w:rPr>
                <w:b/>
                <w:sz w:val="18"/>
              </w:rPr>
              <w:t>Amount</w:t>
            </w:r>
          </w:p>
        </w:tc>
        <w:tc>
          <w:tcPr>
            <w:tcW w:type="dxa" w:w="3120"/>
            <w:shd w:fill="E8F4E8" w:val="clear"/>
          </w:tcPr>
          <w:p>
            <w:r>
              <w:rPr>
                <w:b/>
                <w:sz w:val="18"/>
              </w:rPr>
              <w:t>% of revenue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Square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$161,980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54.2%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Stripe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$102,823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34.4%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Deposits + other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$34,312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11.5%</w:t>
            </w:r>
          </w:p>
        </w:tc>
      </w:tr>
    </w:tbl>
    <w:p/>
    <w:p>
      <w:r>
        <w:t>Stripe ≈ Squarespace online. The ~$56K gap between Square bank deposits ($162K) and Squarespace total ($106K) is in-store POS + invoices.</w:t>
      </w:r>
    </w:p>
    <w:p>
      <w:pPr>
        <w:pStyle w:val="Heading1"/>
      </w:pPr>
      <w:r>
        <w:t>4. Seasonality</w:t>
      </w:r>
    </w:p>
    <w:p>
      <w:pPr>
        <w:pStyle w:val="Heading2"/>
      </w:pPr>
      <w:r>
        <w:t>Monthly revenue index (bank P&amp;L, 2023–2025 average)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E8F4E8" w:val="clear"/>
          </w:tcPr>
          <w:p>
            <w:r>
              <w:rPr>
                <w:b/>
                <w:sz w:val="18"/>
              </w:rPr>
              <w:t>Month</w:t>
            </w:r>
          </w:p>
        </w:tc>
        <w:tc>
          <w:tcPr>
            <w:tcW w:type="dxa" w:w="1872"/>
            <w:shd w:fill="E8F4E8" w:val="clear"/>
          </w:tcPr>
          <w:p>
            <w:r>
              <w:rPr>
                <w:b/>
                <w:sz w:val="18"/>
              </w:rPr>
              <w:t>Avg revenue</w:t>
            </w:r>
          </w:p>
        </w:tc>
        <w:tc>
          <w:tcPr>
            <w:tcW w:type="dxa" w:w="1872"/>
            <w:shd w:fill="E8F4E8" w:val="clear"/>
          </w:tcPr>
          <w:p>
            <w:r>
              <w:rPr>
                <w:b/>
                <w:sz w:val="18"/>
              </w:rPr>
              <w:t>Index*</w:t>
            </w:r>
          </w:p>
        </w:tc>
        <w:tc>
          <w:tcPr>
            <w:tcW w:type="dxa" w:w="1872"/>
            <w:shd w:fill="E8F4E8" w:val="clear"/>
          </w:tcPr>
          <w:p>
            <w:r>
              <w:rPr>
                <w:b/>
                <w:sz w:val="18"/>
              </w:rPr>
              <w:t>Avg GP %</w:t>
            </w:r>
          </w:p>
        </w:tc>
        <w:tc>
          <w:tcPr>
            <w:tcW w:type="dxa" w:w="1872"/>
            <w:shd w:fill="E8F4E8" w:val="clear"/>
          </w:tcPr>
          <w:p>
            <w:r>
              <w:rPr>
                <w:b/>
                <w:sz w:val="18"/>
              </w:rPr>
              <w:t>Peak event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Jan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$14,629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58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8.8%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Post-holiday trough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Feb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$37,049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146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48.7%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Valentine's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Mar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$24,024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95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30.9%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Apr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$30,422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120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45.3%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Easter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May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$45,468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179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44.6%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Mother's Day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Jun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$25,472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100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42.5%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Baseline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Jul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$16,495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65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14.2%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Summer slow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Aug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$18,830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74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25.5%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Sep–Dec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$20–28K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80–108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19–44%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Thanksgiving / holidays</w:t>
            </w:r>
          </w:p>
        </w:tc>
      </w:tr>
    </w:tbl>
    <w:p/>
    <w:p>
      <w:r>
        <w:rPr>
          <w:i/>
          <w:sz w:val="20"/>
        </w:rPr>
        <w:t>Index: 100 = average month (~$25,500)</w:t>
      </w:r>
    </w:p>
    <w:p>
      <w:r>
        <w:rPr>
          <w:b/>
        </w:rPr>
        <w:t>2025 peak months:</w:t>
      </w:r>
      <w:r>
        <w:t xml:space="preserve"> May ($39,878), Feb ($29,595), Oct ($27,100)</w:t>
      </w:r>
    </w:p>
    <w:p>
      <w:r>
        <w:rPr>
          <w:b/>
        </w:rPr>
        <w:t>2025 trough months:</w:t>
      </w:r>
      <w:r>
        <w:t xml:space="preserve"> Aug ($20,720), Apr ($20,247), Jun ($21,178)</w:t>
      </w:r>
    </w:p>
    <w:p>
      <w:r>
        <w:t xml:space="preserve">Plan inventory and stem buying around Feb/May peaks; Jul/Aug average </w:t>
      </w:r>
      <w:r>
        <w:rPr>
          <w:b/>
        </w:rPr>
        <w:t>14–26% GP</w:t>
      </w:r>
      <w:r>
        <w:t xml:space="preserve"> — protect margin in slow months by reducing wholesale orders.</w:t>
      </w:r>
    </w:p>
    <w:p>
      <w:pPr>
        <w:pStyle w:val="Heading2"/>
      </w:pPr>
      <w:r>
        <w:t>Quarterly P&amp;L trend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8F4E8" w:val="clear"/>
          </w:tcPr>
          <w:p>
            <w:r>
              <w:rPr>
                <w:b/>
                <w:sz w:val="18"/>
              </w:rPr>
              <w:t>Quarter</w:t>
            </w:r>
          </w:p>
        </w:tc>
        <w:tc>
          <w:tcPr>
            <w:tcW w:type="dxa" w:w="2340"/>
            <w:shd w:fill="E8F4E8" w:val="clear"/>
          </w:tcPr>
          <w:p>
            <w:r>
              <w:rPr>
                <w:b/>
                <w:sz w:val="18"/>
              </w:rPr>
              <w:t>Revenue</w:t>
            </w:r>
          </w:p>
        </w:tc>
        <w:tc>
          <w:tcPr>
            <w:tcW w:type="dxa" w:w="2340"/>
            <w:shd w:fill="E8F4E8" w:val="clear"/>
          </w:tcPr>
          <w:p>
            <w:r>
              <w:rPr>
                <w:b/>
                <w:sz w:val="18"/>
              </w:rPr>
              <w:t>GP %</w:t>
            </w:r>
          </w:p>
        </w:tc>
        <w:tc>
          <w:tcPr>
            <w:tcW w:type="dxa" w:w="2340"/>
            <w:shd w:fill="E8F4E8" w:val="clear"/>
          </w:tcPr>
          <w:p>
            <w:r>
              <w:rPr>
                <w:b/>
                <w:sz w:val="18"/>
              </w:rPr>
              <w:t>Net Ops %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2025 Q1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$78,380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43.2%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15.9%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2025 Q2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$81,303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35.4%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12.2%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2025 Q3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$67,628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36.3%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17.2%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2025 Q4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$71,804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37.4%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17.6%</w:t>
            </w:r>
          </w:p>
        </w:tc>
      </w:tr>
    </w:tbl>
    <w:p/>
    <w:p>
      <w:r>
        <w:t xml:space="preserve">Trailing 12 months (Aug 2025 – Jul 2026): Revenue $299K · GP </w:t>
      </w:r>
      <w:r>
        <w:rPr>
          <w:b/>
        </w:rPr>
        <w:t>30.9%</w:t>
      </w:r>
      <w:r>
        <w:t xml:space="preserve"> · Net ops </w:t>
      </w:r>
      <w:r>
        <w:rPr>
          <w:b/>
        </w:rPr>
        <w:t>12.4%</w:t>
      </w:r>
      <w:r>
        <w:t xml:space="preserve"> — gross margin compressing vs prior years.</w:t>
      </w:r>
    </w:p>
    <w:p>
      <w:pPr>
        <w:pStyle w:val="Heading1"/>
      </w:pPr>
      <w:r>
        <w:t>5. Customer &amp; Retention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E8F4E8" w:val="clear"/>
          </w:tcPr>
          <w:p>
            <w:r>
              <w:rPr>
                <w:b/>
                <w:sz w:val="18"/>
              </w:rPr>
              <w:t>Source</w:t>
            </w:r>
          </w:p>
        </w:tc>
        <w:tc>
          <w:tcPr>
            <w:tcW w:type="dxa" w:w="3120"/>
            <w:shd w:fill="E8F4E8" w:val="clear"/>
          </w:tcPr>
          <w:p>
            <w:r>
              <w:rPr>
                <w:b/>
                <w:sz w:val="18"/>
              </w:rPr>
              <w:t>Repeat rate</w:t>
            </w:r>
          </w:p>
        </w:tc>
        <w:tc>
          <w:tcPr>
            <w:tcW w:type="dxa" w:w="3120"/>
            <w:shd w:fill="E8F4E8" w:val="clear"/>
          </w:tcPr>
          <w:p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Squarespace emails (all-time)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20.7% (2+ orders)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5,630 unique emails; repeat buyers = 51% of lifetime online revenue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Square customers (all-time)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31% (2+ transactions)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17,526 profiles but only 7.5% have email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2026 SS orders from known emails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43%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Healthier than raw repeat rate suggests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2025 cohort (same-year repeat)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11.8%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83 of 704 emails ordered 2+ times in 2025</w:t>
            </w:r>
          </w:p>
        </w:tc>
      </w:tr>
    </w:tbl>
    <w:p/>
    <w:p>
      <w:r>
        <w:rPr>
          <w:b/>
        </w:rPr>
        <w:t>Gap vs. 40%+ Alameda target:</w:t>
      </w:r>
      <w:r>
        <w:t xml:space="preserve"> Need occasion reminders, post-holiday win-back, and subscription offers. Nearly half of 2026 online orders come from existing emails — retention infrastructure exists but isn't being activated.</w:t>
      </w:r>
    </w:p>
    <w:p>
      <w:r>
        <w:rPr>
          <w:b/>
        </w:rPr>
        <w:t>Identity gap:</w:t>
      </w:r>
      <w:r>
        <w:t xml:space="preserve"> ~40% of Square YTD revenue is anonymous (no customer ID). Requiring email/phone at POS is prerequisite for repeat-rate improvement.</w:t>
      </w:r>
    </w:p>
    <w:p>
      <w:pPr>
        <w:pStyle w:val="Heading1"/>
      </w:pPr>
      <w:r>
        <w:t>6. Product Mix &amp; Margin Levers</w:t>
      </w:r>
    </w:p>
    <w:p>
      <w:pPr>
        <w:pStyle w:val="Heading2"/>
      </w:pPr>
      <w:r>
        <w:t>Online hero concentration (2026 YTD)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E8F4E8" w:val="clear"/>
          </w:tcPr>
          <w:p>
            <w:r>
              <w:rPr>
                <w:b/>
                <w:sz w:val="18"/>
              </w:rPr>
              <w:t>Product</w:t>
            </w:r>
          </w:p>
        </w:tc>
        <w:tc>
          <w:tcPr>
            <w:tcW w:type="dxa" w:w="3120"/>
            <w:shd w:fill="E8F4E8" w:val="clear"/>
          </w:tcPr>
          <w:p>
            <w:r>
              <w:rPr>
                <w:b/>
                <w:sz w:val="18"/>
              </w:rPr>
              <w:t>Line revenue</w:t>
            </w:r>
          </w:p>
        </w:tc>
        <w:tc>
          <w:tcPr>
            <w:tcW w:type="dxa" w:w="3120"/>
            <w:shd w:fill="E8F4E8" w:val="clear"/>
          </w:tcPr>
          <w:p>
            <w:r>
              <w:rPr>
                <w:b/>
                <w:sz w:val="18"/>
              </w:rPr>
              <w:t>Share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To the Moon and Back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$12,160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Love Poem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$11,475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Touch of Honey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$9,945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TLC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$9,100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XoXo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$7,480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Top 5 = 68.5% of online product $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The Sympathy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$5,618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Sympathy is material (~$7K YTD)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Darling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$5,220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Premium anchor</w:t>
            </w:r>
          </w:p>
        </w:tc>
      </w:tr>
    </w:tbl>
    <w:p/>
    <w:p>
      <w:r>
        <w:rPr>
          <w:b/>
        </w:rPr>
        <w:t>Recost priority:</w:t>
      </w:r>
      <w:r>
        <w:t xml:space="preserve"> Top 8 online SKUs first — they represent 89% of online product revenue. Flag any below 60% product margin.</w:t>
      </w:r>
    </w:p>
    <w:p>
      <w:pPr>
        <w:pStyle w:val="Heading2"/>
      </w:pPr>
      <w:r>
        <w:t>Store expense breakdown (2025)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8F4E8" w:val="clear"/>
          </w:tcPr>
          <w:p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2340"/>
            <w:shd w:fill="E8F4E8" w:val="clear"/>
          </w:tcPr>
          <w:p>
            <w:r>
              <w:rPr>
                <w:b/>
                <w:sz w:val="18"/>
              </w:rPr>
              <w:t>Amount</w:t>
            </w:r>
          </w:p>
        </w:tc>
        <w:tc>
          <w:tcPr>
            <w:tcW w:type="dxa" w:w="2340"/>
            <w:shd w:fill="E8F4E8" w:val="clear"/>
          </w:tcPr>
          <w:p>
            <w:r>
              <w:rPr>
                <w:b/>
                <w:sz w:val="18"/>
              </w:rPr>
              <w:t>% rev</w:t>
            </w:r>
          </w:p>
        </w:tc>
        <w:tc>
          <w:tcPr>
            <w:tcW w:type="dxa" w:w="2340"/>
            <w:shd w:fill="E8F4E8" w:val="clear"/>
          </w:tcPr>
          <w:p>
            <w:r>
              <w:rPr>
                <w:b/>
                <w:sz w:val="18"/>
              </w:rPr>
              <w:t>Benchmark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Venmo (labor proxy)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$20,330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6.8%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Payroll 28–35%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Food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$6,380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2.1%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Review personal mix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SBA / Admin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$7,561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2.5%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OK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Utilities + insurance + car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$12,191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4.1%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OK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Total store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$67,436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22.5%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Lean</w:t>
            </w:r>
          </w:p>
        </w:tc>
      </w:tr>
    </w:tbl>
    <w:p/>
    <w:p>
      <w:r>
        <w:t xml:space="preserve">The margin problem is </w:t>
      </w:r>
      <w:r>
        <w:rPr>
          <w:b/>
        </w:rPr>
        <w:t>COGS</w:t>
      </w:r>
      <w:r>
        <w:t>, not overhead.</w:t>
      </w:r>
    </w:p>
    <w:p>
      <w:pPr>
        <w:pStyle w:val="Heading1"/>
      </w:pPr>
      <w:r>
        <w:t>7. Why Gross Margin Is Low — Root Causes</w:t>
      </w:r>
    </w:p>
    <w:p>
      <w:pPr>
        <w:pStyle w:val="ListNumber"/>
      </w:pPr>
      <w:r>
        <w:rPr>
          <w:b/>
        </w:rPr>
        <w:t>Flowers category inflated</w:t>
      </w:r>
      <w:r>
        <w:t xml:space="preserve"> — 54.5% of revenue vs 28–35% benchmark. Forensic review found ~$162K undocumented checks and ~$42K non-flower items coded as Flowers.</w:t>
      </w:r>
    </w:p>
    <w:p>
      <w:pPr>
        <w:pStyle w:val="ListNumber"/>
      </w:pPr>
      <w:r>
        <w:rPr>
          <w:b/>
        </w:rPr>
        <w:t>Pricing vs. stem cost</w:t>
      </w:r>
      <w:r>
        <w:t xml:space="preserve"> — Even with clean COGS, ~40% product margin implies underpricing, waste, or over-buying in slow months.</w:t>
      </w:r>
    </w:p>
    <w:p>
      <w:pPr>
        <w:pStyle w:val="ListNumber"/>
      </w:pPr>
      <w:r>
        <w:rPr>
          <w:b/>
        </w:rPr>
        <w:t>In-store undercharging</w:t>
      </w:r>
      <w:r>
        <w:t xml:space="preserve"> — $49 median POS ticket vs $95+ online subtotal on the same designs.</w:t>
      </w:r>
    </w:p>
    <w:p>
      <w:pPr>
        <w:pStyle w:val="ListNumber"/>
      </w:pPr>
      <w:r>
        <w:rPr>
          <w:b/>
        </w:rPr>
        <w:t>Owner labor not captured</w:t>
      </w:r>
      <w:r>
        <w:t xml:space="preserve"> — Venmo at 6.8% vs 28–35% payroll benchmark; true fully-loaded accounting would reduce net ops.</w:t>
      </w:r>
    </w:p>
    <w:p>
      <w:pPr>
        <w:pStyle w:val="ListNumber"/>
      </w:pPr>
      <w:r>
        <w:rPr>
          <w:b/>
        </w:rPr>
        <w:t>Sales tax in COGS</w:t>
      </w:r>
      <w:r>
        <w:t xml:space="preserve"> — Depresses reported GP ~2 pts (adjust by tracking tax separately).</w:t>
      </w:r>
    </w:p>
    <w:p>
      <w:pPr>
        <w:pStyle w:val="Heading1"/>
      </w:pPr>
      <w:r>
        <w:t>8. 90-Day Targets (Calibrated to Actuals)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8F4E8" w:val="clear"/>
          </w:tcPr>
          <w:p>
            <w:r>
              <w:rPr>
                <w:b/>
                <w:sz w:val="18"/>
              </w:rPr>
              <w:t>Metric</w:t>
            </w:r>
          </w:p>
        </w:tc>
        <w:tc>
          <w:tcPr>
            <w:tcW w:type="dxa" w:w="2340"/>
            <w:shd w:fill="E8F4E8" w:val="clear"/>
          </w:tcPr>
          <w:p>
            <w:r>
              <w:rPr>
                <w:b/>
                <w:sz w:val="18"/>
              </w:rPr>
              <w:t>Plan default</w:t>
            </w:r>
          </w:p>
        </w:tc>
        <w:tc>
          <w:tcPr>
            <w:tcW w:type="dxa" w:w="2340"/>
            <w:shd w:fill="E8F4E8" w:val="clear"/>
          </w:tcPr>
          <w:p>
            <w:r>
              <w:rPr>
                <w:b/>
                <w:sz w:val="18"/>
              </w:rPr>
              <w:t>Recommended</w:t>
            </w:r>
          </w:p>
        </w:tc>
        <w:tc>
          <w:tcPr>
            <w:tcW w:type="dxa" w:w="2340"/>
            <w:shd w:fill="E8F4E8" w:val="clear"/>
          </w:tcPr>
          <w:p>
            <w:r>
              <w:rPr>
                <w:b/>
                <w:sz w:val="18"/>
              </w:rPr>
              <w:t>Rationale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Everyday AOV (blended)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$95+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$85+ interim → $95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Online already there; need POS lift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In-store AOV median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$49 → $75+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Biggest revenue-per-hour lever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Gross margin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60%+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50%+ interim → 55%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60% is stretch; requires recost + pricing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Wholesale % rev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&lt; 42%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Down from 55%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Repeat customer rate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35%+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Track → 30%+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Need POS email capture first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Card attach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25%+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10% → 25%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Currently 0.2%; quick win available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Net ops margin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Maintain 12%+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Already on target</w:t>
            </w:r>
          </w:p>
        </w:tc>
      </w:tr>
    </w:tbl>
    <w:p/>
    <w:p>
      <w:pPr>
        <w:pStyle w:val="Heading1"/>
      </w:pPr>
      <w:r>
        <w:t>9. Prioritized Actions</w:t>
      </w:r>
    </w:p>
    <w:p>
      <w:pPr>
        <w:pStyle w:val="Heading2"/>
      </w:pPr>
      <w:r>
        <w:t>Week 4 (now)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8F4E8" w:val="clear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2340"/>
            <w:shd w:fill="E8F4E8" w:val="clear"/>
          </w:tcPr>
          <w:p>
            <w:r>
              <w:rPr>
                <w:b/>
                <w:sz w:val="18"/>
              </w:rPr>
              <w:t>Action</w:t>
            </w:r>
          </w:p>
        </w:tc>
        <w:tc>
          <w:tcPr>
            <w:tcW w:type="dxa" w:w="2340"/>
            <w:shd w:fill="E8F4E8" w:val="clear"/>
          </w:tcPr>
          <w:p>
            <w:r>
              <w:rPr>
                <w:b/>
                <w:sz w:val="18"/>
              </w:rPr>
              <w:t>Impact</w:t>
            </w:r>
          </w:p>
        </w:tc>
        <w:tc>
          <w:tcPr>
            <w:tcW w:type="dxa" w:w="2340"/>
            <w:shd w:fill="E8F4E8" w:val="clear"/>
          </w:tcPr>
          <w:p>
            <w:r>
              <w:rPr>
                <w:b/>
                <w:sz w:val="18"/>
              </w:rPr>
              <w:t>Time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Recost top 8 online SKUs + top 5 POS items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Gross margin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2–3 hrs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Flag SKUs below 55% product margin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Pricing decisions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30 min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Map POS SKUs to online hero names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In-store AOV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1 hr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Clean Flowers category in forensic spreadsheet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Accurate COGS %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Ongoing</w:t>
            </w:r>
          </w:p>
        </w:tc>
      </w:tr>
    </w:tbl>
    <w:p/>
    <w:p>
      <w:pPr>
        <w:pStyle w:val="Heading2"/>
      </w:pPr>
      <w:r>
        <w:t>Weeks 5–10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E8F4E8" w:val="clear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3120"/>
            <w:shd w:fill="E8F4E8" w:val="clear"/>
          </w:tcPr>
          <w:p>
            <w:r>
              <w:rPr>
                <w:b/>
                <w:sz w:val="18"/>
              </w:rPr>
              <w:t>Action</w:t>
            </w:r>
          </w:p>
        </w:tc>
        <w:tc>
          <w:tcPr>
            <w:tcW w:type="dxa" w:w="3120"/>
            <w:shd w:fill="E8F4E8" w:val="clear"/>
          </w:tcPr>
          <w:p>
            <w:r>
              <w:rPr>
                <w:b/>
                <w:sz w:val="18"/>
              </w:rPr>
              <w:t>Impact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Default $6.50 card at online checkout + POS verbal prompt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Card attach → $3–5K/yr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Require email/phone on every Square payment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Repeat rate tracking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Post-Valentine/Mother's Day win-back to SS email list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Repeat rate → 30%+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Subscription offer to multi-buyers (only 4 sub orders YTD)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LTV 3.4× multiplier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Reduce stem orders Jul/Aug to match seasonality index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COGS % reduction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Separate sales tax from COGS in monthly tracking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Benchmark accuracy</w:t>
            </w:r>
          </w:p>
        </w:tc>
      </w:tr>
    </w:tbl>
    <w:p/>
    <w:p>
      <w:pPr>
        <w:pStyle w:val="Heading1"/>
      </w:pPr>
      <w:r>
        <w:t>10. Deliverables &amp; Files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E8F4E8" w:val="clear"/>
          </w:tcPr>
          <w:p>
            <w:r>
              <w:rPr>
                <w:b/>
                <w:sz w:val="18"/>
              </w:rPr>
              <w:t>File</w:t>
            </w:r>
          </w:p>
        </w:tc>
        <w:tc>
          <w:tcPr>
            <w:tcW w:type="dxa" w:w="4680"/>
            <w:shd w:fill="E8F4E8" w:val="clear"/>
          </w:tcPr>
          <w:p>
            <w:r>
              <w:rPr>
                <w:b/>
                <w:sz w:val="18"/>
              </w:rPr>
              <w:t>Contents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[week-4-pl-analysis.md](week-4-pl-analysis.md)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This document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[strategy/benchmark-comparison.csv](strategy/benchmark-comparison.csv)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Annual actuals vs benchmarks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[strategy/monthly-scorecard-2023-2026.csv](strategy/monthly-scorecard-2023-2026.csv)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Month-by-month P&amp;L metrics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[strategy/monthly-scorecard-2026.csv](strategy/monthly-scorecard-2026.csv)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2026 YTD order-level scorecard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[forensic-classification-review.xlsx](forensic-classification-review.xlsx)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Full P&amp;L + transaction detail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[strategy/revenue-baseline-2026-ytd.md](strategy/revenue-baseline-2026-ytd.md)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Order-level channel analysis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[strategy/industry-benchmarks.md](strategy/industry-benchmarks.md)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Alameda benchmark reference</w:t>
            </w:r>
          </w:p>
        </w:tc>
      </w:tr>
    </w:tbl>
    <w:p/>
    <w:p>
      <w:pPr>
        <w:pStyle w:val="Heading1"/>
      </w:pPr>
      <w:r>
        <w:t>Week 4 Success Criteria Checklist</w:t>
      </w:r>
    </w:p>
    <w:p>
      <w:pPr>
        <w:pStyle w:val="ListBullet"/>
      </w:pPr>
      <w:r>
        <w:rPr>
          <w:sz w:val="22"/>
        </w:rPr>
        <w:t xml:space="preserve">☑  </w:t>
      </w:r>
      <w:r>
        <w:t>Scorecard filled with real baseline (P&amp;L + order data)</w:t>
      </w:r>
    </w:p>
    <w:p>
      <w:pPr>
        <w:pStyle w:val="ListBullet"/>
      </w:pPr>
      <w:r>
        <w:rPr>
          <w:sz w:val="22"/>
        </w:rPr>
        <w:t xml:space="preserve">☑  </w:t>
      </w:r>
      <w:r>
        <w:t>Compare actuals vs. Alameda benchmarks</w:t>
      </w:r>
    </w:p>
    <w:p>
      <w:pPr>
        <w:pStyle w:val="ListBullet"/>
      </w:pPr>
      <w:r>
        <w:rPr>
          <w:sz w:val="22"/>
        </w:rPr>
        <w:t xml:space="preserve">☑  </w:t>
      </w:r>
      <w:r>
        <w:t xml:space="preserve">Choose 2 focus metrics for next 8 weeks: </w:t>
      </w:r>
      <w:r>
        <w:rPr>
          <w:b/>
        </w:rPr>
        <w:t>Gross margin %</w:t>
      </w:r>
      <w:r>
        <w:t xml:space="preserve"> + </w:t>
      </w:r>
      <w:r>
        <w:rPr>
          <w:b/>
        </w:rPr>
        <w:t>In-store AOV</w:t>
      </w:r>
    </w:p>
    <w:p>
      <w:pPr>
        <w:pStyle w:val="ListBullet"/>
      </w:pPr>
      <w:r>
        <w:rPr>
          <w:sz w:val="22"/>
        </w:rPr>
        <w:t xml:space="preserve">☐  </w:t>
      </w:r>
      <w:r>
        <w:t>Week 1 website QA complete (separate track)</w:t>
      </w:r>
    </w:p>
    <w:p>
      <w:pPr>
        <w:pStyle w:val="ListBullet"/>
      </w:pPr>
      <w:r>
        <w:rPr>
          <w:sz w:val="22"/>
        </w:rPr>
        <w:t xml:space="preserve">☐  </w:t>
      </w:r>
      <w:r>
        <w:t>Margin issues list created → see §9 actions + forensic spreadsheet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