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Dandelion Flowers</w:t>
      </w:r>
    </w:p>
    <w:p>
      <w:pPr>
        <w:jc w:val="center"/>
      </w:pPr>
      <w:r>
        <w:rPr>
          <w:b/>
          <w:sz w:val="28"/>
        </w:rPr>
        <w:t>Revenue Analysis — Benchmarks &amp; Alameda Targets</w:t>
      </w:r>
    </w:p>
    <w:p>
      <w:pPr>
        <w:jc w:val="center"/>
      </w:pPr>
      <w:r>
        <w:rPr>
          <w:color w:val="666666"/>
          <w:sz w:val="20"/>
        </w:rPr>
        <w:t>Prepared: July 26, 2026  |  Week 4 Deliverable  |  Dandelion Flowers · Alameda, CA</w:t>
      </w:r>
    </w:p>
    <w:p/>
    <w:p>
      <w:pPr>
        <w:pStyle w:val="Heading1"/>
      </w:pPr>
      <w:r>
        <w:t>Executive Summary</w:t>
      </w:r>
    </w:p>
    <w:p>
      <w:r>
        <w:t>Dandelion annualizes to approximately $316,000 in revenue (2026 year-to-date pace) — squarely in the $300K–$500K healthy independent florist band. The shop is not revenue-starved; it is margin- and mix-starved.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Alameda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1728"/>
          </w:tcPr>
          <w:p>
            <w:r>
              <w:t>Winning</w:t>
            </w:r>
          </w:p>
        </w:tc>
        <w:tc>
          <w:tcPr>
            <w:tcW w:type="dxa" w:w="1728"/>
          </w:tcPr>
          <w:p>
            <w:r>
              <w:t>Online AOV</w:t>
            </w:r>
          </w:p>
        </w:tc>
        <w:tc>
          <w:tcPr>
            <w:tcW w:type="dxa" w:w="1728"/>
          </w:tcPr>
          <w:p>
            <w:r>
              <w:t>$95–$133</w:t>
            </w:r>
          </w:p>
        </w:tc>
        <w:tc>
          <w:tcPr>
            <w:tcW w:type="dxa" w:w="1728"/>
          </w:tcPr>
          <w:p>
            <w:r>
              <w:t>$85–$115</w:t>
            </w:r>
          </w:p>
        </w:tc>
        <w:tc>
          <w:tcPr>
            <w:tcW w:type="dxa" w:w="1728"/>
          </w:tcPr>
          <w:p>
            <w:r>
              <w:t>At or above</w:t>
            </w:r>
          </w:p>
        </w:tc>
      </w:tr>
      <w:tr>
        <w:tc>
          <w:tcPr>
            <w:tcW w:type="dxa" w:w="1728"/>
          </w:tcPr>
          <w:p>
            <w:r>
              <w:t>Winning</w:t>
            </w:r>
          </w:p>
        </w:tc>
        <w:tc>
          <w:tcPr>
            <w:tcW w:type="dxa" w:w="1728"/>
          </w:tcPr>
          <w:p>
            <w:r>
              <w:t>Online channel share</w:t>
            </w:r>
          </w:p>
        </w:tc>
        <w:tc>
          <w:tcPr>
            <w:tcW w:type="dxa" w:w="1728"/>
          </w:tcPr>
          <w:p>
            <w:r>
              <w:t>49%</w:t>
            </w:r>
          </w:p>
        </w:tc>
        <w:tc>
          <w:tcPr>
            <w:tcW w:type="dxa" w:w="1728"/>
          </w:tcPr>
          <w:p>
            <w:r>
              <w:t>42–48%</w:t>
            </w:r>
          </w:p>
        </w:tc>
        <w:tc>
          <w:tcPr>
            <w:tcW w:type="dxa" w:w="1728"/>
          </w:tcPr>
          <w:p>
            <w:r>
              <w:t>At target</w:t>
            </w:r>
          </w:p>
        </w:tc>
      </w:tr>
      <w:tr>
        <w:tc>
          <w:tcPr>
            <w:tcW w:type="dxa" w:w="1728"/>
          </w:tcPr>
          <w:p>
            <w:r>
              <w:t>Winning</w:t>
            </w:r>
          </w:p>
        </w:tc>
        <w:tc>
          <w:tcPr>
            <w:tcW w:type="dxa" w:w="1728"/>
          </w:tcPr>
          <w:p>
            <w:r>
              <w:t>2026 online growth</w:t>
            </w:r>
          </w:p>
        </w:tc>
        <w:tc>
          <w:tcPr>
            <w:tcW w:type="dxa" w:w="1728"/>
          </w:tcPr>
          <w:p>
            <w:r>
              <w:t>+41% YTD vs 2025</w:t>
            </w:r>
          </w:p>
        </w:tc>
        <w:tc>
          <w:tcPr>
            <w:tcW w:type="dxa" w:w="1728"/>
          </w:tcPr>
          <w:p>
            <w:r>
              <w:t>Protect recovery</w:t>
            </w:r>
          </w:p>
        </w:tc>
        <w:tc>
          <w:tcPr>
            <w:tcW w:type="dxa" w:w="1728"/>
          </w:tcPr>
          <w:p>
            <w:r>
              <w:t>Ahead</w:t>
            </w:r>
          </w:p>
        </w:tc>
      </w:tr>
      <w:tr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Repeat rate</w:t>
            </w:r>
          </w:p>
        </w:tc>
        <w:tc>
          <w:tcPr>
            <w:tcW w:type="dxa" w:w="1728"/>
          </w:tcPr>
          <w:p>
            <w:r>
              <w:t>21–31%</w:t>
            </w:r>
          </w:p>
        </w:tc>
        <w:tc>
          <w:tcPr>
            <w:tcW w:type="dxa" w:w="1728"/>
          </w:tcPr>
          <w:p>
            <w:r>
              <w:t>40%+</w:t>
            </w:r>
          </w:p>
        </w:tc>
        <w:tc>
          <w:tcPr>
            <w:tcW w:type="dxa" w:w="1728"/>
          </w:tcPr>
          <w:p>
            <w:r>
              <w:t>Below strong performer</w:t>
            </w:r>
          </w:p>
        </w:tc>
      </w:tr>
      <w:tr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POS median AOV</w:t>
            </w:r>
          </w:p>
        </w:tc>
        <w:tc>
          <w:tcPr>
            <w:tcW w:type="dxa" w:w="1728"/>
          </w:tcPr>
          <w:p>
            <w:r>
              <w:t>$49</w:t>
            </w:r>
          </w:p>
        </w:tc>
        <w:tc>
          <w:tcPr>
            <w:tcW w:type="dxa" w:w="1728"/>
          </w:tcPr>
          <w:p>
            <w:r>
              <w:t>$85–$115</w:t>
            </w:r>
          </w:p>
        </w:tc>
        <w:tc>
          <w:tcPr>
            <w:tcW w:type="dxa" w:w="1728"/>
          </w:tcPr>
          <w:p>
            <w:r>
              <w:t>−$36 to −$66</w:t>
            </w:r>
          </w:p>
        </w:tc>
      </w:tr>
      <w:tr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Gross margin</w:t>
            </w:r>
          </w:p>
        </w:tc>
        <w:tc>
          <w:tcPr>
            <w:tcW w:type="dxa" w:w="1728"/>
          </w:tcPr>
          <w:p>
            <w:r>
              <w:t>31.5%</w:t>
            </w:r>
          </w:p>
        </w:tc>
        <w:tc>
          <w:tcPr>
            <w:tcW w:type="dxa" w:w="1728"/>
          </w:tcPr>
          <w:p>
            <w:r>
              <w:t>62–68%</w:t>
            </w:r>
          </w:p>
        </w:tc>
        <w:tc>
          <w:tcPr>
            <w:tcW w:type="dxa" w:w="1728"/>
          </w:tcPr>
          <w:p>
            <w:r>
              <w:t>−31 pts</w:t>
            </w:r>
          </w:p>
        </w:tc>
      </w:tr>
      <w:tr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Wholesale spend / revenue</w:t>
            </w:r>
          </w:p>
        </w:tc>
        <w:tc>
          <w:tcPr>
            <w:tcW w:type="dxa" w:w="1728"/>
          </w:tcPr>
          <w:p>
            <w:r>
              <w:t>63%</w:t>
            </w:r>
          </w:p>
        </w:tc>
        <w:tc>
          <w:tcPr>
            <w:tcW w:type="dxa" w:w="1728"/>
          </w:tcPr>
          <w:p>
            <w:r>
              <w:t>28–35%</w:t>
            </w:r>
          </w:p>
        </w:tc>
        <w:tc>
          <w:tcPr>
            <w:tcW w:type="dxa" w:w="1728"/>
          </w:tcPr>
          <w:p>
            <w:r>
              <w:t>~2× benchmark</w:t>
            </w:r>
          </w:p>
        </w:tc>
      </w:tr>
      <w:tr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Card attach</w:t>
            </w:r>
          </w:p>
        </w:tc>
        <w:tc>
          <w:tcPr>
            <w:tcW w:type="dxa" w:w="1728"/>
          </w:tcPr>
          <w:p>
            <w:r>
              <w:t>0.6%</w:t>
            </w:r>
          </w:p>
        </w:tc>
        <w:tc>
          <w:tcPr>
            <w:tcW w:type="dxa" w:w="1728"/>
          </w:tcPr>
          <w:p>
            <w:r>
              <w:t>30%+</w:t>
            </w:r>
          </w:p>
        </w:tc>
        <w:tc>
          <w:tcPr>
            <w:tcW w:type="dxa" w:w="1728"/>
          </w:tcPr>
          <w:p>
            <w:r>
              <w:t>Near zero</w:t>
            </w:r>
          </w:p>
        </w:tc>
      </w:tr>
    </w:tbl>
    <w:p/>
    <w:p>
      <w:r>
        <w:t>Market context: Alameda median household income is $137,697 (+39% vs California). Customers can afford premium floral. Online pricing proves it; the counter does not.</w:t>
      </w:r>
    </w:p>
    <w:p>
      <w:pPr>
        <w:pStyle w:val="Heading2"/>
      </w:pPr>
      <w:r>
        <w:t>Two Focus Metrics — Next 8 Weeks</w:t>
      </w:r>
    </w:p>
    <w:p>
      <w:pPr>
        <w:pStyle w:val="ListBullet"/>
      </w:pPr>
      <w:r>
        <w:t>POS median AOV: $49 → $75 by end of Q3</w:t>
      </w:r>
    </w:p>
    <w:p>
      <w:pPr>
        <w:pStyle w:val="ListBullet"/>
      </w:pPr>
      <w:r>
        <w:t>Shop gross margin %: 31.5% → 38% by end of Q3</w:t>
      </w:r>
    </w:p>
    <w:p>
      <w:r>
        <w:t>Everything else (SEO, weddings, corporate) is secondary until these move.</w:t>
      </w:r>
    </w:p>
    <w:p>
      <w:pPr>
        <w:pStyle w:val="Heading1"/>
      </w:pPr>
      <w:r>
        <w:t>1. Revenue &amp; Shop Size</w:t>
      </w:r>
    </w:p>
    <w:p>
      <w:pPr>
        <w:pStyle w:val="Heading2"/>
      </w:pPr>
      <w:r>
        <w:t>Annual Revenue 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Bank Revenue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 Online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Online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$333,737</w:t>
            </w:r>
          </w:p>
        </w:tc>
        <w:tc>
          <w:tcPr>
            <w:tcW w:type="dxa" w:w="1440"/>
          </w:tcPr>
          <w:p>
            <w:r>
              <w:t>$110,123</w:t>
            </w:r>
          </w:p>
        </w:tc>
        <w:tc>
          <w:tcPr>
            <w:tcW w:type="dxa" w:w="1440"/>
          </w:tcPr>
          <w:p>
            <w:r>
              <w:t>33%</w:t>
            </w:r>
          </w:p>
        </w:tc>
        <w:tc>
          <w:tcPr>
            <w:tcW w:type="dxa" w:w="1440"/>
          </w:tcPr>
          <w:p>
            <w:r>
              <w:t>38.1%</w:t>
            </w:r>
          </w:p>
        </w:tc>
        <w:tc>
          <w:tcPr>
            <w:tcW w:type="dxa" w:w="1440"/>
          </w:tcPr>
          <w:p>
            <w:r>
              <w:t>Above $300K — healthy band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$282,530</w:t>
            </w:r>
          </w:p>
        </w:tc>
        <w:tc>
          <w:tcPr>
            <w:tcW w:type="dxa" w:w="1440"/>
          </w:tcPr>
          <w:p>
            <w:r>
              <w:t>$107,984</w:t>
            </w:r>
          </w:p>
        </w:tc>
        <w:tc>
          <w:tcPr>
            <w:tcW w:type="dxa" w:w="1440"/>
          </w:tcPr>
          <w:p>
            <w:r>
              <w:t>38%</w:t>
            </w:r>
          </w:p>
        </w:tc>
        <w:tc>
          <w:tcPr>
            <w:tcW w:type="dxa" w:w="1440"/>
          </w:tcPr>
          <w:p>
            <w:r>
              <w:t>34.3%</w:t>
            </w:r>
          </w:p>
        </w:tc>
        <w:tc>
          <w:tcPr>
            <w:tcW w:type="dxa" w:w="1440"/>
          </w:tcPr>
          <w:p>
            <w:r>
              <w:t>Declining; margin slipping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$276,591</w:t>
            </w:r>
          </w:p>
        </w:tc>
        <w:tc>
          <w:tcPr>
            <w:tcW w:type="dxa" w:w="1440"/>
          </w:tcPr>
          <w:p>
            <w:r>
              <w:t>$106,459</w:t>
            </w:r>
          </w:p>
        </w:tc>
        <w:tc>
          <w:tcPr>
            <w:tcW w:type="dxa" w:w="1440"/>
          </w:tcPr>
          <w:p>
            <w:r>
              <w:t>38%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Below $300K; margin crisis</w:t>
            </w:r>
          </w:p>
        </w:tc>
      </w:tr>
      <w:tr>
        <w:tc>
          <w:tcPr>
            <w:tcW w:type="dxa" w:w="1440"/>
          </w:tcPr>
          <w:p>
            <w:r>
              <w:t>2026 YTD (7 mo)</w:t>
            </w:r>
          </w:p>
        </w:tc>
        <w:tc>
          <w:tcPr>
            <w:tcW w:type="dxa" w:w="1440"/>
          </w:tcPr>
          <w:p>
            <w:r>
              <w:t>$184,160</w:t>
            </w:r>
          </w:p>
        </w:tc>
        <w:tc>
          <w:tcPr>
            <w:tcW w:type="dxa" w:w="1440"/>
          </w:tcPr>
          <w:p>
            <w:r>
              <w:t>$89,835</w:t>
            </w:r>
          </w:p>
        </w:tc>
        <w:tc>
          <w:tcPr>
            <w:tcW w:type="dxa" w:w="1440"/>
          </w:tcPr>
          <w:p>
            <w:r>
              <w:t>49%</w:t>
            </w:r>
          </w:p>
        </w:tc>
        <w:tc>
          <w:tcPr>
            <w:tcW w:type="dxa" w:w="1440"/>
          </w:tcPr>
          <w:p>
            <w:r>
              <w:t>31.5%</w:t>
            </w:r>
          </w:p>
        </w:tc>
        <w:tc>
          <w:tcPr>
            <w:tcW w:type="dxa" w:w="1440"/>
          </w:tcPr>
          <w:p>
            <w:r>
              <w:t>Recovering</w:t>
            </w:r>
          </w:p>
        </w:tc>
      </w:tr>
      <w:tr>
        <w:tc>
          <w:tcPr>
            <w:tcW w:type="dxa" w:w="1440"/>
          </w:tcPr>
          <w:p>
            <w:r>
              <w:t>2026 annualized</w:t>
            </w:r>
          </w:p>
        </w:tc>
        <w:tc>
          <w:tcPr>
            <w:tcW w:type="dxa" w:w="1440"/>
          </w:tcPr>
          <w:p>
            <w:r>
              <w:t>~$316K</w:t>
            </w:r>
          </w:p>
        </w:tc>
        <w:tc>
          <w:tcPr>
            <w:tcW w:type="dxa" w:w="1440"/>
          </w:tcPr>
          <w:p>
            <w:r>
              <w:t>~$154K</w:t>
            </w:r>
          </w:p>
        </w:tc>
        <w:tc>
          <w:tcPr>
            <w:tcW w:type="dxa" w:w="1440"/>
          </w:tcPr>
          <w:p>
            <w:r>
              <w:t>~49%</w:t>
            </w:r>
          </w:p>
        </w:tc>
        <w:tc>
          <w:tcPr>
            <w:tcW w:type="dxa" w:w="1440"/>
          </w:tcPr>
          <w:p>
            <w:r>
              <w:t>~31.5%</w:t>
            </w:r>
          </w:p>
        </w:tc>
        <w:tc>
          <w:tcPr>
            <w:tcW w:type="dxa" w:w="1440"/>
          </w:tcPr>
          <w:p>
            <w:r>
              <w:t>$300K–$500K band</w:t>
            </w:r>
          </w:p>
        </w:tc>
      </w:tr>
    </w:tbl>
    <w:p/>
    <w:p>
      <w:pPr>
        <w:pStyle w:val="Heading2"/>
      </w:pPr>
      <w:r>
        <w:t>2026 Channel Mix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Benchmark</w:t>
            </w:r>
          </w:p>
        </w:tc>
      </w:tr>
      <w:tr>
        <w:tc>
          <w:tcPr>
            <w:tcW w:type="dxa" w:w="1728"/>
          </w:tcPr>
          <w:p>
            <w:r>
              <w:t>Square POS + invoices</w:t>
            </w:r>
          </w:p>
        </w:tc>
        <w:tc>
          <w:tcPr>
            <w:tcW w:type="dxa" w:w="1728"/>
          </w:tcPr>
          <w:p>
            <w:r>
              <w:t>$111,578</w:t>
            </w:r>
          </w:p>
        </w:tc>
        <w:tc>
          <w:tcPr>
            <w:tcW w:type="dxa" w:w="1728"/>
          </w:tcPr>
          <w:p>
            <w:r>
              <w:t>1,680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Walk-in GM 40–50%</w:t>
            </w:r>
          </w:p>
        </w:tc>
      </w:tr>
      <w:tr>
        <w:tc>
          <w:tcPr>
            <w:tcW w:type="dxa" w:w="1728"/>
          </w:tcPr>
          <w:p>
            <w:r>
              <w:t>Squarespace (total)</w:t>
            </w:r>
          </w:p>
        </w:tc>
        <w:tc>
          <w:tcPr>
            <w:tcW w:type="dxa" w:w="1728"/>
          </w:tcPr>
          <w:p>
            <w:r>
              <w:t>$89,835</w:t>
            </w:r>
          </w:p>
        </w:tc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Direct web GM 45–65%</w:t>
            </w:r>
          </w:p>
        </w:tc>
      </w:tr>
      <w:tr>
        <w:tc>
          <w:tcPr>
            <w:tcW w:type="dxa" w:w="1728"/>
          </w:tcPr>
          <w:p>
            <w:r>
              <w:t>Online share (bank)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49%</w:t>
            </w:r>
          </w:p>
        </w:tc>
        <w:tc>
          <w:tcPr>
            <w:tcW w:type="dxa" w:w="1728"/>
          </w:tcPr>
          <w:p>
            <w:r>
              <w:t>National: 42–48%</w:t>
            </w:r>
          </w:p>
        </w:tc>
      </w:tr>
    </w:tbl>
    <w:p/>
    <w:p>
      <w:pPr>
        <w:pStyle w:val="Heading2"/>
      </w:pPr>
      <w:r>
        <w:t>Seasonality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Dandelion 2026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Industry Note</w:t>
            </w:r>
          </w:p>
        </w:tc>
      </w:tr>
      <w:tr>
        <w:tc>
          <w:tcPr>
            <w:tcW w:type="dxa" w:w="2880"/>
          </w:tcPr>
          <w:p>
            <w:r>
              <w:t>Valentine's month (Feb)</w:t>
            </w:r>
          </w:p>
        </w:tc>
        <w:tc>
          <w:tcPr>
            <w:tcW w:type="dxa" w:w="2880"/>
          </w:tcPr>
          <w:p>
            <w:r>
              <w:t>21% of YTD</w:t>
            </w:r>
          </w:p>
        </w:tc>
        <w:tc>
          <w:tcPr>
            <w:tcW w:type="dxa" w:w="2880"/>
          </w:tcPr>
          <w:p>
            <w:r>
              <w:t>Peak; 20–40% above baseline</w:t>
            </w:r>
          </w:p>
        </w:tc>
      </w:tr>
      <w:tr>
        <w:tc>
          <w:tcPr>
            <w:tcW w:type="dxa" w:w="2880"/>
          </w:tcPr>
          <w:p>
            <w:r>
              <w:t>Mother's Day month (May)</w:t>
            </w:r>
          </w:p>
        </w:tc>
        <w:tc>
          <w:tcPr>
            <w:tcW w:type="dxa" w:w="2880"/>
          </w:tcPr>
          <w:p>
            <w:r>
              <w:t>25% of YTD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</w:tr>
      <w:tr>
        <w:tc>
          <w:tcPr>
            <w:tcW w:type="dxa" w:w="2880"/>
          </w:tcPr>
          <w:p>
            <w:r>
              <w:t>Feb + May combined</w:t>
            </w:r>
          </w:p>
        </w:tc>
        <w:tc>
          <w:tcPr>
            <w:tcW w:type="dxa" w:w="2880"/>
          </w:tcPr>
          <w:p>
            <w:r>
              <w:t>~46%</w:t>
            </w:r>
          </w:p>
        </w:tc>
        <w:tc>
          <w:tcPr>
            <w:tcW w:type="dxa" w:w="2880"/>
          </w:tcPr>
          <w:p>
            <w:r>
              <w:t>Plan inventory + retention</w:t>
            </w:r>
          </w:p>
        </w:tc>
      </w:tr>
      <w:tr>
        <w:tc>
          <w:tcPr>
            <w:tcW w:type="dxa" w:w="2880"/>
          </w:tcPr>
          <w:p>
            <w:r>
              <w:t>Soft months (Apr, Jun)</w:t>
            </w:r>
          </w:p>
        </w:tc>
        <w:tc>
          <w:tcPr>
            <w:tcW w:type="dxa" w:w="2880"/>
          </w:tcPr>
          <w:p>
            <w:r>
              <w:t>9–11% GP%</w:t>
            </w:r>
          </w:p>
        </w:tc>
        <w:tc>
          <w:tcPr>
            <w:tcW w:type="dxa" w:w="2880"/>
          </w:tcPr>
          <w:p>
            <w:r>
              <w:t>Margin floor — stems not cut</w:t>
            </w:r>
          </w:p>
        </w:tc>
      </w:tr>
    </w:tbl>
    <w:p/>
    <w:p>
      <w:pPr>
        <w:pStyle w:val="Heading1"/>
      </w:pPr>
      <w:r>
        <w:t>2. AOV — Actuals vs Alameda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National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Alameda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Square POS median</w:t>
            </w:r>
          </w:p>
        </w:tc>
        <w:tc>
          <w:tcPr>
            <w:tcW w:type="dxa" w:w="1728"/>
          </w:tcPr>
          <w:p>
            <w:r>
              <w:t>$49</w:t>
            </w:r>
          </w:p>
        </w:tc>
        <w:tc>
          <w:tcPr>
            <w:tcW w:type="dxa" w:w="1728"/>
          </w:tcPr>
          <w:p>
            <w:r>
              <w:t>$65–$90</w:t>
            </w:r>
          </w:p>
        </w:tc>
        <w:tc>
          <w:tcPr>
            <w:tcW w:type="dxa" w:w="1728"/>
          </w:tcPr>
          <w:p>
            <w:r>
              <w:t>$85–$115</w:t>
            </w:r>
          </w:p>
        </w:tc>
        <w:tc>
          <w:tcPr>
            <w:tcW w:type="dxa" w:w="1728"/>
          </w:tcPr>
          <w:p>
            <w:r>
              <w:t>Below</w:t>
            </w:r>
          </w:p>
        </w:tc>
      </w:tr>
      <w:tr>
        <w:tc>
          <w:tcPr>
            <w:tcW w:type="dxa" w:w="1728"/>
          </w:tcPr>
          <w:p>
            <w:r>
              <w:t>Square POS mean</w:t>
            </w:r>
          </w:p>
        </w:tc>
        <w:tc>
          <w:tcPr>
            <w:tcW w:type="dxa" w:w="1728"/>
          </w:tcPr>
          <w:p>
            <w:r>
              <w:t>$66</w:t>
            </w:r>
          </w:p>
        </w:tc>
        <w:tc>
          <w:tcPr>
            <w:tcW w:type="dxa" w:w="1728"/>
          </w:tcPr>
          <w:p>
            <w:r>
              <w:t>$65–$90</w:t>
            </w:r>
          </w:p>
        </w:tc>
        <w:tc>
          <w:tcPr>
            <w:tcW w:type="dxa" w:w="1728"/>
          </w:tcPr>
          <w:p>
            <w:r>
              <w:t>$85–$115</w:t>
            </w:r>
          </w:p>
        </w:tc>
        <w:tc>
          <w:tcPr>
            <w:tcW w:type="dxa" w:w="1728"/>
          </w:tcPr>
          <w:p>
            <w:r>
              <w:t>Low end</w:t>
            </w:r>
          </w:p>
        </w:tc>
      </w:tr>
      <w:tr>
        <w:tc>
          <w:tcPr>
            <w:tcW w:type="dxa" w:w="1728"/>
          </w:tcPr>
          <w:p>
            <w:r>
              <w:t>SS product median</w:t>
            </w:r>
          </w:p>
        </w:tc>
        <w:tc>
          <w:tcPr>
            <w:tcW w:type="dxa" w:w="1728"/>
          </w:tcPr>
          <w:p>
            <w:r>
              <w:t>$95</w:t>
            </w:r>
          </w:p>
        </w:tc>
        <w:tc>
          <w:tcPr>
            <w:tcW w:type="dxa" w:w="1728"/>
          </w:tcPr>
          <w:p>
            <w:r>
              <w:t>$72–$83</w:t>
            </w:r>
          </w:p>
        </w:tc>
        <w:tc>
          <w:tcPr>
            <w:tcW w:type="dxa" w:w="1728"/>
          </w:tcPr>
          <w:p>
            <w:r>
              <w:t>$85–$115</w:t>
            </w:r>
          </w:p>
        </w:tc>
        <w:tc>
          <w:tcPr>
            <w:tcW w:type="dxa" w:w="1728"/>
          </w:tcPr>
          <w:p>
            <w:r>
              <w:t>On target</w:t>
            </w:r>
          </w:p>
        </w:tc>
      </w:tr>
      <w:tr>
        <w:tc>
          <w:tcPr>
            <w:tcW w:type="dxa" w:w="1728"/>
          </w:tcPr>
          <w:p>
            <w:r>
              <w:t>SS total median</w:t>
            </w:r>
          </w:p>
        </w:tc>
        <w:tc>
          <w:tcPr>
            <w:tcW w:type="dxa" w:w="1728"/>
          </w:tcPr>
          <w:p>
            <w:r>
              <w:t>$121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$85–$115</w:t>
            </w:r>
          </w:p>
        </w:tc>
        <w:tc>
          <w:tcPr>
            <w:tcW w:type="dxa" w:w="1728"/>
          </w:tcPr>
          <w:p>
            <w:r>
              <w:t>Above target</w:t>
            </w:r>
          </w:p>
        </w:tc>
      </w:tr>
      <w:tr>
        <w:tc>
          <w:tcPr>
            <w:tcW w:type="dxa" w:w="1728"/>
          </w:tcPr>
          <w:p>
            <w:r>
              <w:t>Blended all channels</w:t>
            </w:r>
          </w:p>
        </w:tc>
        <w:tc>
          <w:tcPr>
            <w:tcW w:type="dxa" w:w="1728"/>
          </w:tcPr>
          <w:p>
            <w:r>
              <w:t>$78</w:t>
            </w:r>
          </w:p>
        </w:tc>
        <w:tc>
          <w:tcPr>
            <w:tcW w:type="dxa" w:w="1728"/>
          </w:tcPr>
          <w:p>
            <w:r>
              <w:t>$65–$90</w:t>
            </w:r>
          </w:p>
        </w:tc>
        <w:tc>
          <w:tcPr>
            <w:tcW w:type="dxa" w:w="1728"/>
          </w:tcPr>
          <w:p>
            <w:r>
              <w:t>$85–$115</w:t>
            </w:r>
          </w:p>
        </w:tc>
        <w:tc>
          <w:tcPr>
            <w:tcW w:type="dxa" w:w="1728"/>
          </w:tcPr>
          <w:p>
            <w:r>
              <w:t>Below</w:t>
            </w:r>
          </w:p>
        </w:tc>
      </w:tr>
    </w:tbl>
    <w:p/>
    <w:p>
      <w:r>
        <w:t>Dollar impact: Alameda target blended AOV ≈ $95 vs actual $78 on ~2,358 orders YTD ≈ $40,000 left on table (annualized ~$69K). 40% of POS tickets are under $40.</w:t>
      </w:r>
    </w:p>
    <w:p>
      <w:pPr>
        <w:pStyle w:val="Heading2"/>
      </w:pPr>
      <w:r>
        <w:t>Price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Online (working)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 (broken)</w:t>
            </w:r>
          </w:p>
        </w:tc>
      </w:tr>
      <w:tr>
        <w:tc>
          <w:tcPr>
            <w:tcW w:type="dxa" w:w="2880"/>
          </w:tcPr>
          <w:p>
            <w:r>
              <w:t>Entry</w:t>
            </w:r>
          </w:p>
        </w:tc>
        <w:tc>
          <w:tcPr>
            <w:tcW w:type="dxa" w:w="2880"/>
          </w:tcPr>
          <w:p>
            <w:r>
              <w:t>Touch of Honey ~$65–68</w:t>
            </w:r>
          </w:p>
        </w:tc>
        <w:tc>
          <w:tcPr>
            <w:tcW w:type="dxa" w:w="2880"/>
          </w:tcPr>
          <w:p>
            <w:r>
              <w:t>"20", "45 bouquet" ~$40–60</w:t>
            </w:r>
          </w:p>
        </w:tc>
      </w:tr>
      <w:tr>
        <w:tc>
          <w:tcPr>
            <w:tcW w:type="dxa" w:w="2880"/>
          </w:tcPr>
          <w:p>
            <w:r>
              <w:t>Mid</w:t>
            </w:r>
          </w:p>
        </w:tc>
        <w:tc>
          <w:tcPr>
            <w:tcW w:type="dxa" w:w="2880"/>
          </w:tcPr>
          <w:p>
            <w:r>
              <w:t>Love Poem, Moon ~$85–101</w:t>
            </w:r>
          </w:p>
        </w:tc>
        <w:tc>
          <w:tcPr>
            <w:tcW w:type="dxa" w:w="2880"/>
          </w:tcPr>
          <w:p>
            <w:r>
              <w:t>Generic Bouquet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Darling ~$180, Great Expectations ~$309</w:t>
            </w:r>
          </w:p>
        </w:tc>
        <w:tc>
          <w:tcPr>
            <w:tcW w:type="dxa" w:w="2880"/>
          </w:tcPr>
          <w:p>
            <w:r>
              <w:t>Rarely sold at counter</w:t>
            </w:r>
          </w:p>
        </w:tc>
      </w:tr>
    </w:tbl>
    <w:p/>
    <w:p>
      <w:pPr>
        <w:pStyle w:val="Heading1"/>
      </w:pPr>
      <w:r>
        <w:t>3. Gross Margin — Actuals vs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Dandelion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National Healthy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Alameda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Gross margin % (2026 YTD)</w:t>
            </w:r>
          </w:p>
        </w:tc>
        <w:tc>
          <w:tcPr>
            <w:tcW w:type="dxa" w:w="1728"/>
          </w:tcPr>
          <w:p>
            <w:r>
              <w:t>31.5%</w:t>
            </w:r>
          </w:p>
        </w:tc>
        <w:tc>
          <w:tcPr>
            <w:tcW w:type="dxa" w:w="1728"/>
          </w:tcPr>
          <w:p>
            <w:r>
              <w:t>65–72%</w:t>
            </w:r>
          </w:p>
        </w:tc>
        <w:tc>
          <w:tcPr>
            <w:tcW w:type="dxa" w:w="1728"/>
          </w:tcPr>
          <w:p>
            <w:r>
              <w:t>62–68%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Gross margin % (2025)</w:t>
            </w:r>
          </w:p>
        </w:tc>
        <w:tc>
          <w:tcPr>
            <w:tcW w:type="dxa" w:w="1728"/>
          </w:tcPr>
          <w:p>
            <w:r>
              <w:t>25.8%</w:t>
            </w:r>
          </w:p>
        </w:tc>
        <w:tc>
          <w:tcPr>
            <w:tcW w:type="dxa" w:w="1728"/>
          </w:tcPr>
          <w:p>
            <w:r>
              <w:t>45–58%</w:t>
            </w:r>
          </w:p>
        </w:tc>
        <w:tc>
          <w:tcPr>
            <w:tcW w:type="dxa" w:w="1728"/>
          </w:tcPr>
          <w:p>
            <w:r>
              <w:t>62–68%</w:t>
            </w:r>
          </w:p>
        </w:tc>
        <w:tc>
          <w:tcPr>
            <w:tcW w:type="dxa" w:w="1728"/>
          </w:tcPr>
          <w:p>
            <w:r>
              <w:t>Deteriorating</w:t>
            </w:r>
          </w:p>
        </w:tc>
      </w:tr>
      <w:tr>
        <w:tc>
          <w:tcPr>
            <w:tcW w:type="dxa" w:w="1728"/>
          </w:tcPr>
          <w:p>
            <w:r>
              <w:t>Wholesale/flowers % of revenue</w:t>
            </w:r>
          </w:p>
        </w:tc>
        <w:tc>
          <w:tcPr>
            <w:tcW w:type="dxa" w:w="1728"/>
          </w:tcPr>
          <w:p>
            <w:r>
              <w:t>63.2%</w:t>
            </w:r>
          </w:p>
        </w:tc>
        <w:tc>
          <w:tcPr>
            <w:tcW w:type="dxa" w:w="1728"/>
          </w:tcPr>
          <w:p>
            <w:r>
              <w:t>28–35%</w:t>
            </w:r>
          </w:p>
        </w:tc>
        <w:tc>
          <w:tcPr>
            <w:tcW w:type="dxa" w:w="1728"/>
          </w:tcPr>
          <w:p>
            <w:r>
              <w:t>Under 40%</w:t>
            </w:r>
          </w:p>
        </w:tc>
        <w:tc>
          <w:tcPr>
            <w:tcW w:type="dxa" w:w="1728"/>
          </w:tcPr>
          <w:p>
            <w:r>
              <w:t>~2× benchmark</w:t>
            </w:r>
          </w:p>
        </w:tc>
      </w:tr>
    </w:tbl>
    <w:p/>
    <w:p>
      <w:pPr>
        <w:pStyle w:val="Heading2"/>
      </w:pPr>
      <w:r>
        <w:t>Margin 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GP%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Wholesale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Happened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$334K</w:t>
            </w:r>
          </w:p>
        </w:tc>
        <w:tc>
          <w:tcPr>
            <w:tcW w:type="dxa" w:w="1728"/>
          </w:tcPr>
          <w:p>
            <w:r>
              <w:t>38.1%</w:t>
            </w:r>
          </w:p>
        </w:tc>
        <w:tc>
          <w:tcPr>
            <w:tcW w:type="dxa" w:w="1728"/>
          </w:tcPr>
          <w:p>
            <w:r>
              <w:t>54%</w:t>
            </w:r>
          </w:p>
        </w:tc>
        <w:tc>
          <w:tcPr>
            <w:tcW w:type="dxa" w:w="1728"/>
          </w:tcPr>
          <w:p>
            <w:r>
              <w:t>Highest revenue + best margin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$283K</w:t>
            </w:r>
          </w:p>
        </w:tc>
        <w:tc>
          <w:tcPr>
            <w:tcW w:type="dxa" w:w="1728"/>
          </w:tcPr>
          <w:p>
            <w:r>
              <w:t>34.3%</w:t>
            </w:r>
          </w:p>
        </w:tc>
        <w:tc>
          <w:tcPr>
            <w:tcW w:type="dxa" w:w="1728"/>
          </w:tcPr>
          <w:p>
            <w:r>
              <w:t>59%</w:t>
            </w:r>
          </w:p>
        </w:tc>
        <w:tc>
          <w:tcPr>
            <w:tcW w:type="dxa" w:w="1728"/>
          </w:tcPr>
          <w:p>
            <w:r>
              <w:t>Revenue −15%; margin slipping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$277K</w:t>
            </w:r>
          </w:p>
        </w:tc>
        <w:tc>
          <w:tcPr>
            <w:tcW w:type="dxa" w:w="1728"/>
          </w:tcPr>
          <w:p>
            <w:r>
              <w:t>25.8%</w:t>
            </w:r>
          </w:p>
        </w:tc>
        <w:tc>
          <w:tcPr>
            <w:tcW w:type="dxa" w:w="1728"/>
          </w:tcPr>
          <w:p>
            <w:r>
              <w:t>68%</w:t>
            </w:r>
          </w:p>
        </w:tc>
        <w:tc>
          <w:tcPr>
            <w:tcW w:type="dxa" w:w="1728"/>
          </w:tcPr>
          <w:p>
            <w:r>
              <w:t>Stem spend up; prices flat</w:t>
            </w:r>
          </w:p>
        </w:tc>
      </w:tr>
      <w:tr>
        <w:tc>
          <w:tcPr>
            <w:tcW w:type="dxa" w:w="1728"/>
          </w:tcPr>
          <w:p>
            <w:r>
              <w:t>2026 YTD</w:t>
            </w:r>
          </w:p>
        </w:tc>
        <w:tc>
          <w:tcPr>
            <w:tcW w:type="dxa" w:w="1728"/>
          </w:tcPr>
          <w:p>
            <w:r>
              <w:t>$184K</w:t>
            </w:r>
          </w:p>
        </w:tc>
        <w:tc>
          <w:tcPr>
            <w:tcW w:type="dxa" w:w="1728"/>
          </w:tcPr>
          <w:p>
            <w:r>
              <w:t>31.5%</w:t>
            </w:r>
          </w:p>
        </w:tc>
        <w:tc>
          <w:tcPr>
            <w:tcW w:type="dxa" w:w="1728"/>
          </w:tcPr>
          <w:p>
            <w:r>
              <w:t>63%</w:t>
            </w:r>
          </w:p>
        </w:tc>
        <w:tc>
          <w:tcPr>
            <w:tcW w:type="dxa" w:w="1728"/>
          </w:tcPr>
          <w:p>
            <w:r>
              <w:t>Volume recovering; margin broken</w:t>
            </w:r>
          </w:p>
        </w:tc>
      </w:tr>
    </w:tbl>
    <w:p/>
    <w:p>
      <w:pPr>
        <w:pStyle w:val="Heading2"/>
      </w:pPr>
      <w:r>
        <w:t>Monthly Margin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GP%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2160"/>
          </w:tcPr>
          <w:p>
            <w:r>
              <w:t>Feb (Valentine's)</w:t>
            </w:r>
          </w:p>
        </w:tc>
        <w:tc>
          <w:tcPr>
            <w:tcW w:type="dxa" w:w="2160"/>
          </w:tcPr>
          <w:p>
            <w:r>
              <w:t>$44,644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Best month — still below 62% target</w:t>
            </w:r>
          </w:p>
        </w:tc>
      </w:tr>
      <w:tr>
        <w:tc>
          <w:tcPr>
            <w:tcW w:type="dxa" w:w="2160"/>
          </w:tcPr>
          <w:p>
            <w:r>
              <w:t>May (Mother's Day)</w:t>
            </w:r>
          </w:p>
        </w:tc>
        <w:tc>
          <w:tcPr>
            <w:tcW w:type="dxa" w:w="2160"/>
          </w:tcPr>
          <w:p>
            <w:r>
              <w:t>$45,339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Peak revenue + best GP%</w:t>
            </w:r>
          </w:p>
        </w:tc>
      </w:tr>
      <w:tr>
        <w:tc>
          <w:tcPr>
            <w:tcW w:type="dxa" w:w="2160"/>
          </w:tcPr>
          <w:p>
            <w:r>
              <w:t>Apr</w:t>
            </w:r>
          </w:p>
        </w:tc>
        <w:tc>
          <w:tcPr>
            <w:tcW w:type="dxa" w:w="2160"/>
          </w:tcPr>
          <w:p>
            <w:r>
              <w:t>$19,910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Revenue down; stems not cut</w:t>
            </w:r>
          </w:p>
        </w:tc>
      </w:tr>
      <w:tr>
        <w:tc>
          <w:tcPr>
            <w:tcW w:type="dxa" w:w="2160"/>
          </w:tcPr>
          <w:p>
            <w:r>
              <w:t>Jun</w:t>
            </w:r>
          </w:p>
        </w:tc>
        <w:tc>
          <w:tcPr>
            <w:tcW w:type="dxa" w:w="2160"/>
          </w:tcPr>
          <w:p>
            <w:r>
              <w:t>$14,582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Same pattern</w:t>
            </w:r>
          </w:p>
        </w:tc>
      </w:tr>
    </w:tbl>
    <w:p/>
    <w:p>
      <w:pPr>
        <w:pStyle w:val="Heading2"/>
      </w:pPr>
      <w:r>
        <w:t>Hero Product Margins (Predicted)</w:t>
      </w:r>
    </w:p>
    <w:p>
      <w:r>
        <w:t>Estimated via weekly COGS allocation (no inventory carry-over). Full COGS, 4-week rolling 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GP%</w:t>
            </w:r>
          </w:p>
        </w:tc>
      </w:tr>
      <w:tr>
        <w:tc>
          <w:tcPr>
            <w:tcW w:type="dxa" w:w="2160"/>
          </w:tcPr>
          <w:p>
            <w:r>
              <w:t>Touch of Honey</w:t>
            </w:r>
          </w:p>
        </w:tc>
        <w:tc>
          <w:tcPr>
            <w:tcW w:type="dxa" w:w="2160"/>
          </w:tcPr>
          <w:p>
            <w:r>
              <w:t>$41,920</w:t>
            </w:r>
          </w:p>
        </w:tc>
        <w:tc>
          <w:tcPr>
            <w:tcW w:type="dxa" w:w="2160"/>
          </w:tcPr>
          <w:p>
            <w:r>
              <w:t>$68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</w:tr>
      <w:tr>
        <w:tc>
          <w:tcPr>
            <w:tcW w:type="dxa" w:w="2160"/>
          </w:tcPr>
          <w:p>
            <w:r>
              <w:t>Love Poem</w:t>
            </w:r>
          </w:p>
        </w:tc>
        <w:tc>
          <w:tcPr>
            <w:tcW w:type="dxa" w:w="2160"/>
          </w:tcPr>
          <w:p>
            <w:r>
              <w:t>$38,287</w:t>
            </w:r>
          </w:p>
        </w:tc>
        <w:tc>
          <w:tcPr>
            <w:tcW w:type="dxa" w:w="2160"/>
          </w:tcPr>
          <w:p>
            <w:r>
              <w:t>$91</w:t>
            </w:r>
          </w:p>
        </w:tc>
        <w:tc>
          <w:tcPr>
            <w:tcW w:type="dxa" w:w="2160"/>
          </w:tcPr>
          <w:p>
            <w:r>
              <w:t>31.1%</w:t>
            </w:r>
          </w:p>
        </w:tc>
      </w:tr>
      <w:tr>
        <w:tc>
          <w:tcPr>
            <w:tcW w:type="dxa" w:w="2160"/>
          </w:tcPr>
          <w:p>
            <w:r>
              <w:t>To the Moon and Back</w:t>
            </w:r>
          </w:p>
        </w:tc>
        <w:tc>
          <w:tcPr>
            <w:tcW w:type="dxa" w:w="2160"/>
          </w:tcPr>
          <w:p>
            <w:r>
              <w:t>$36,315</w:t>
            </w:r>
          </w:p>
        </w:tc>
        <w:tc>
          <w:tcPr>
            <w:tcW w:type="dxa" w:w="2160"/>
          </w:tcPr>
          <w:p>
            <w:r>
              <w:t>$101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</w:tr>
      <w:tr>
        <w:tc>
          <w:tcPr>
            <w:tcW w:type="dxa" w:w="2160"/>
          </w:tcPr>
          <w:p>
            <w:r>
              <w:t>TLC</w:t>
            </w:r>
          </w:p>
        </w:tc>
        <w:tc>
          <w:tcPr>
            <w:tcW w:type="dxa" w:w="2160"/>
          </w:tcPr>
          <w:p>
            <w:r>
              <w:t>$31,013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</w:tr>
      <w:tr>
        <w:tc>
          <w:tcPr>
            <w:tcW w:type="dxa" w:w="2160"/>
          </w:tcPr>
          <w:p>
            <w:r>
              <w:t>XoXo</w:t>
            </w:r>
          </w:p>
        </w:tc>
        <w:tc>
          <w:tcPr>
            <w:tcW w:type="dxa" w:w="2160"/>
          </w:tcPr>
          <w:p>
            <w:r>
              <w:t>$24,499</w:t>
            </w:r>
          </w:p>
        </w:tc>
        <w:tc>
          <w:tcPr>
            <w:tcW w:type="dxa" w:w="2160"/>
          </w:tcPr>
          <w:p>
            <w:r>
              <w:t>$118</w:t>
            </w:r>
          </w:p>
        </w:tc>
        <w:tc>
          <w:tcPr>
            <w:tcW w:type="dxa" w:w="2160"/>
          </w:tcPr>
          <w:p>
            <w:r>
              <w:t>33.5%</w:t>
            </w:r>
          </w:p>
        </w:tc>
      </w:tr>
      <w:tr>
        <w:tc>
          <w:tcPr>
            <w:tcW w:type="dxa" w:w="2160"/>
          </w:tcPr>
          <w:p>
            <w:r>
              <w:t>Deep in the Woods</w:t>
            </w:r>
          </w:p>
        </w:tc>
        <w:tc>
          <w:tcPr>
            <w:tcW w:type="dxa" w:w="2160"/>
          </w:tcPr>
          <w:p>
            <w:r>
              <w:t>$23,753</w:t>
            </w:r>
          </w:p>
        </w:tc>
        <w:tc>
          <w:tcPr>
            <w:tcW w:type="dxa" w:w="2160"/>
          </w:tcPr>
          <w:p>
            <w:r>
              <w:t>$130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</w:tr>
      <w:tr>
        <w:tc>
          <w:tcPr>
            <w:tcW w:type="dxa" w:w="2160"/>
          </w:tcPr>
          <w:p>
            <w:r>
              <w:t>The Sympathy</w:t>
            </w:r>
          </w:p>
        </w:tc>
        <w:tc>
          <w:tcPr>
            <w:tcW w:type="dxa" w:w="2160"/>
          </w:tcPr>
          <w:p>
            <w:r>
              <w:t>$20,785</w:t>
            </w:r>
          </w:p>
        </w:tc>
        <w:tc>
          <w:tcPr>
            <w:tcW w:type="dxa" w:w="2160"/>
          </w:tcPr>
          <w:p>
            <w:r>
              <w:t>$111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</w:tr>
      <w:tr>
        <w:tc>
          <w:tcPr>
            <w:tcW w:type="dxa" w:w="2160"/>
          </w:tcPr>
          <w:p>
            <w:r>
              <w:t>Darling</w:t>
            </w:r>
          </w:p>
        </w:tc>
        <w:tc>
          <w:tcPr>
            <w:tcW w:type="dxa" w:w="2160"/>
          </w:tcPr>
          <w:p>
            <w:r>
              <w:t>$12,723</w:t>
            </w:r>
          </w:p>
        </w:tc>
        <w:tc>
          <w:tcPr>
            <w:tcW w:type="dxa" w:w="2160"/>
          </w:tcPr>
          <w:p>
            <w:r>
              <w:t>$190</w:t>
            </w:r>
          </w:p>
        </w:tc>
        <w:tc>
          <w:tcPr>
            <w:tcW w:type="dxa" w:w="2160"/>
          </w:tcPr>
          <w:p>
            <w:r>
              <w:t>37.2%</w:t>
            </w:r>
          </w:p>
        </w:tc>
      </w:tr>
      <w:tr>
        <w:tc>
          <w:tcPr>
            <w:tcW w:type="dxa" w:w="2160"/>
          </w:tcPr>
          <w:p>
            <w:r>
              <w:t>Great Expectations</w:t>
            </w:r>
          </w:p>
        </w:tc>
        <w:tc>
          <w:tcPr>
            <w:tcW w:type="dxa" w:w="2160"/>
          </w:tcPr>
          <w:p>
            <w:r>
              <w:t>$7,719</w:t>
            </w:r>
          </w:p>
        </w:tc>
        <w:tc>
          <w:tcPr>
            <w:tcW w:type="dxa" w:w="2160"/>
          </w:tcPr>
          <w:p>
            <w:r>
              <w:t>$309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</w:tr>
    </w:tbl>
    <w:p/>
    <w:p>
      <w:r>
        <w:t>All 9 heroes are below 38% gross margin on full COGS. Touch of Honey is the worst.</w:t>
      </w:r>
    </w:p>
    <w:p>
      <w:pPr>
        <w:pStyle w:val="Heading1"/>
      </w:pPr>
      <w:r>
        <w:t>4. Customer &amp; Retention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Dandelion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Typical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Alameda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Repeat rate (online email)</w:t>
            </w:r>
          </w:p>
        </w:tc>
        <w:tc>
          <w:tcPr>
            <w:tcW w:type="dxa" w:w="1728"/>
          </w:tcPr>
          <w:p>
            <w:r>
              <w:t>20.9%</w:t>
            </w:r>
          </w:p>
        </w:tc>
        <w:tc>
          <w:tcPr>
            <w:tcW w:type="dxa" w:w="1728"/>
          </w:tcPr>
          <w:p>
            <w:r>
              <w:t>22–35%</w:t>
            </w:r>
          </w:p>
        </w:tc>
        <w:tc>
          <w:tcPr>
            <w:tcW w:type="dxa" w:w="1728"/>
          </w:tcPr>
          <w:p>
            <w:r>
              <w:t>40%+</w:t>
            </w:r>
          </w:p>
        </w:tc>
        <w:tc>
          <w:tcPr>
            <w:tcW w:type="dxa" w:w="1728"/>
          </w:tcPr>
          <w:p>
            <w:r>
              <w:t>Below</w:t>
            </w:r>
          </w:p>
        </w:tc>
      </w:tr>
      <w:tr>
        <w:tc>
          <w:tcPr>
            <w:tcW w:type="dxa" w:w="1728"/>
          </w:tcPr>
          <w:p>
            <w:r>
              <w:t>Repeat rate (Square)</w:t>
            </w:r>
          </w:p>
        </w:tc>
        <w:tc>
          <w:tcPr>
            <w:tcW w:type="dxa" w:w="1728"/>
          </w:tcPr>
          <w:p>
            <w:r>
              <w:t>31.1%</w:t>
            </w:r>
          </w:p>
        </w:tc>
        <w:tc>
          <w:tcPr>
            <w:tcW w:type="dxa" w:w="1728"/>
          </w:tcPr>
          <w:p>
            <w:r>
              <w:t>22–35%</w:t>
            </w:r>
          </w:p>
        </w:tc>
        <w:tc>
          <w:tcPr>
            <w:tcW w:type="dxa" w:w="1728"/>
          </w:tcPr>
          <w:p>
            <w:r>
              <w:t>40%+</w:t>
            </w:r>
          </w:p>
        </w:tc>
        <w:tc>
          <w:tcPr>
            <w:tcW w:type="dxa" w:w="1728"/>
          </w:tcPr>
          <w:p>
            <w:r>
              <w:t>Typical</w:t>
            </w:r>
          </w:p>
        </w:tc>
      </w:tr>
      <w:tr>
        <w:tc>
          <w:tcPr>
            <w:tcW w:type="dxa" w:w="1728"/>
          </w:tcPr>
          <w:p>
            <w:r>
              <w:t>2026 orders from returning emails</w:t>
            </w:r>
          </w:p>
        </w:tc>
        <w:tc>
          <w:tcPr>
            <w:tcW w:type="dxa" w:w="1728"/>
          </w:tcPr>
          <w:p>
            <w:r>
              <w:t>42.9%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Improving</w:t>
            </w:r>
          </w:p>
        </w:tc>
      </w:tr>
      <w:tr>
        <w:tc>
          <w:tcPr>
            <w:tcW w:type="dxa" w:w="1728"/>
          </w:tcPr>
          <w:p>
            <w:r>
              <w:t>Orders per customer / year</w:t>
            </w:r>
          </w:p>
        </w:tc>
        <w:tc>
          <w:tcPr>
            <w:tcW w:type="dxa" w:w="1728"/>
          </w:tcPr>
          <w:p>
            <w:r>
              <w:t>1.56</w:t>
            </w:r>
          </w:p>
        </w:tc>
        <w:tc>
          <w:tcPr>
            <w:tcW w:type="dxa" w:w="1728"/>
          </w:tcPr>
          <w:p>
            <w:r>
              <w:t>2.5–4.0</w:t>
            </w:r>
          </w:p>
        </w:tc>
        <w:tc>
          <w:tcPr>
            <w:tcW w:type="dxa" w:w="1728"/>
          </w:tcPr>
          <w:p>
            <w:r>
              <w:t>3.0+</w:t>
            </w:r>
          </w:p>
        </w:tc>
        <w:tc>
          <w:tcPr>
            <w:tcW w:type="dxa" w:w="1728"/>
          </w:tcPr>
          <w:p>
            <w:r>
              <w:t>Below</w:t>
            </w:r>
          </w:p>
        </w:tc>
      </w:tr>
      <w:tr>
        <w:tc>
          <w:tcPr>
            <w:tcW w:type="dxa" w:w="1728"/>
          </w:tcPr>
          <w:p>
            <w:r>
              <w:t>Email capture (Square)</w:t>
            </w:r>
          </w:p>
        </w:tc>
        <w:tc>
          <w:tcPr>
            <w:tcW w:type="dxa" w:w="1728"/>
          </w:tcPr>
          <w:p>
            <w:r>
              <w:t>7.4%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85%+ txs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Online payer emails</w:t>
            </w:r>
          </w:p>
        </w:tc>
        <w:tc>
          <w:tcPr>
            <w:tcW w:type="dxa" w:w="1728"/>
          </w:tcPr>
          <w:p>
            <w:r>
              <w:t>5,986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Key asset</w:t>
            </w:r>
          </w:p>
        </w:tc>
      </w:tr>
    </w:tbl>
    <w:p/>
    <w:p>
      <w:pPr>
        <w:pStyle w:val="Heading2"/>
      </w:pPr>
      <w:r>
        <w:t>Customer Value Tiers (Online)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of 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VIP ($1,000+)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14.6% of SS revenue</w:t>
            </w:r>
          </w:p>
        </w:tc>
      </w:tr>
      <w:tr>
        <w:tc>
          <w:tcPr>
            <w:tcW w:type="dxa" w:w="2160"/>
          </w:tcPr>
          <w:p>
            <w:r>
              <w:t>Regular ($300–999)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  <w:tc>
          <w:tcPr>
            <w:tcW w:type="dxa" w:w="2160"/>
          </w:tcPr>
          <w:p>
            <w:r>
              <w:t>Sub/win-back candidates</w:t>
            </w:r>
          </w:p>
        </w:tc>
      </w:tr>
      <w:tr>
        <w:tc>
          <w:tcPr>
            <w:tcW w:type="dxa" w:w="2160"/>
          </w:tcPr>
          <w:p>
            <w:r>
              <w:t>Occasional ($100–299)</w:t>
            </w:r>
          </w:p>
        </w:tc>
        <w:tc>
          <w:tcPr>
            <w:tcW w:type="dxa" w:w="2160"/>
          </w:tcPr>
          <w:p>
            <w:r>
              <w:t>2,745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  <w:tc>
          <w:tcPr>
            <w:tcW w:type="dxa" w:w="2160"/>
          </w:tcPr>
          <w:p>
            <w:r>
              <w:t>Largest pool — occasion reminders</w:t>
            </w:r>
          </w:p>
        </w:tc>
      </w:tr>
      <w:tr>
        <w:tc>
          <w:tcPr>
            <w:tcW w:type="dxa" w:w="2160"/>
          </w:tcPr>
          <w:p>
            <w:r>
              <w:t>Light (&lt;$100)</w:t>
            </w:r>
          </w:p>
        </w:tc>
        <w:tc>
          <w:tcPr>
            <w:tcW w:type="dxa" w:w="2160"/>
          </w:tcPr>
          <w:p>
            <w:r>
              <w:t>2,679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One-time / holiday buyers</w:t>
            </w:r>
          </w:p>
        </w:tc>
      </w:tr>
    </w:tbl>
    <w:p/>
    <w:p>
      <w:pPr>
        <w:pStyle w:val="Heading1"/>
      </w:pPr>
      <w:r>
        <w:t>5. High-LTV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Dandelion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Subscriptions</w:t>
            </w:r>
          </w:p>
        </w:tc>
        <w:tc>
          <w:tcPr>
            <w:tcW w:type="dxa" w:w="2160"/>
          </w:tcPr>
          <w:p>
            <w:r>
              <w:t>4 orders YTD; $195–200/mo</w:t>
            </w:r>
          </w:p>
        </w:tc>
        <w:tc>
          <w:tcPr>
            <w:tcW w:type="dxa" w:w="2160"/>
          </w:tcPr>
          <w:p>
            <w:r>
              <w:t>18% of online rev long-term</w:t>
            </w:r>
          </w:p>
        </w:tc>
        <w:tc>
          <w:tcPr>
            <w:tcW w:type="dxa" w:w="2160"/>
          </w:tcPr>
          <w:p>
            <w:r>
              <w:t>Near zero activity</w:t>
            </w:r>
          </w:p>
        </w:tc>
      </w:tr>
      <w:tr>
        <w:tc>
          <w:tcPr>
            <w:tcW w:type="dxa" w:w="2160"/>
          </w:tcPr>
          <w:p>
            <w:r>
              <w:t>Weddings</w:t>
            </w:r>
          </w:p>
        </w:tc>
        <w:tc>
          <w:tcPr>
            <w:tcW w:type="dxa" w:w="2160"/>
          </w:tcPr>
          <w:p>
            <w:r>
              <w:t>Not tracked; invoices $165 avg</w:t>
            </w:r>
          </w:p>
        </w:tc>
        <w:tc>
          <w:tcPr>
            <w:tcW w:type="dxa" w:w="2160"/>
          </w:tcPr>
          <w:p>
            <w:r>
              <w:t>$5,500–$8,000 contract</w:t>
            </w:r>
          </w:p>
        </w:tc>
        <w:tc>
          <w:tcPr>
            <w:tcW w:type="dxa" w:w="2160"/>
          </w:tcPr>
          <w:p>
            <w:r>
              <w:t>No pipeline</w:t>
            </w:r>
          </w:p>
        </w:tc>
      </w:tr>
      <w:tr>
        <w:tc>
          <w:tcPr>
            <w:tcW w:type="dxa" w:w="2160"/>
          </w:tcPr>
          <w:p>
            <w:r>
              <w:t>Sympathy</w:t>
            </w:r>
          </w:p>
        </w:tc>
        <w:tc>
          <w:tcPr>
            <w:tcW w:type="dxa" w:w="2160"/>
          </w:tcPr>
          <w:p>
            <w:r>
              <w:t>50 orders; $6,941; $139 AOV</w:t>
            </w:r>
          </w:p>
        </w:tc>
        <w:tc>
          <w:tcPr>
            <w:tcW w:type="dxa" w:w="2160"/>
          </w:tcPr>
          <w:p>
            <w:r>
              <w:t>31.4% of Alameda 65+</w:t>
            </w:r>
          </w:p>
        </w:tc>
        <w:tc>
          <w:tcPr>
            <w:tcW w:type="dxa" w:w="2160"/>
          </w:tcPr>
          <w:p>
            <w:r>
              <w:t>Funeral homes not started</w:t>
            </w:r>
          </w:p>
        </w:tc>
      </w:tr>
      <w:tr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2160"/>
          </w:tcPr>
          <w:p>
            <w:r>
              <w:t>6 company profiles</w:t>
            </w:r>
          </w:p>
        </w:tc>
        <w:tc>
          <w:tcPr>
            <w:tcW w:type="dxa" w:w="2160"/>
          </w:tcPr>
          <w:p>
            <w:r>
              <w:t>20 accts × $185/wk ≈ $192K/yr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</w:tbl>
    <w:p/>
    <w:p>
      <w:pPr>
        <w:pStyle w:val="Heading1"/>
      </w:pPr>
      <w:r>
        <w:t>6. Prioritized Recommendations</w:t>
      </w:r>
    </w:p>
    <w:p>
      <w:pPr>
        <w:pStyle w:val="Heading2"/>
      </w:pPr>
      <w:r>
        <w:t>Tier 1 — Close the AOV Gap (Weeks 2–3)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Est. Impact</w:t>
            </w:r>
          </w:p>
        </w:tc>
      </w:tr>
      <w:tr>
        <w:tc>
          <w:tcPr>
            <w:tcW w:type="dxa" w:w="2880"/>
          </w:tcPr>
          <w:p>
            <w:r>
              <w:t>POS hero ladder = online names/prices</w:t>
            </w:r>
          </w:p>
        </w:tc>
        <w:tc>
          <w:tcPr>
            <w:tcW w:type="dxa" w:w="2880"/>
          </w:tcPr>
          <w:p>
            <w:r>
              <w:t>POS median $75</w:t>
            </w:r>
          </w:p>
        </w:tc>
        <w:tc>
          <w:tcPr>
            <w:tcW w:type="dxa" w:w="2880"/>
          </w:tcPr>
          <w:p>
            <w:r>
              <w:t>+$40–69K/yr</w:t>
            </w:r>
          </w:p>
        </w:tc>
      </w:tr>
      <w:tr>
        <w:tc>
          <w:tcPr>
            <w:tcW w:type="dxa" w:w="2880"/>
          </w:tcPr>
          <w:p>
            <w:r>
              <w:t>Delete price-named SKUs</w:t>
            </w:r>
          </w:p>
        </w:tc>
        <w:tc>
          <w:tcPr>
            <w:tcW w:type="dxa" w:w="2880"/>
          </w:tcPr>
          <w:p>
            <w:r>
              <w:t>Enable ladder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Default card add-on at checkout</w:t>
            </w:r>
          </w:p>
        </w:tc>
        <w:tc>
          <w:tcPr>
            <w:tcW w:type="dxa" w:w="2880"/>
          </w:tcPr>
          <w:p>
            <w:r>
              <w:t>25% attach</w:t>
            </w:r>
          </w:p>
        </w:tc>
        <w:tc>
          <w:tcPr>
            <w:tcW w:type="dxa" w:w="2880"/>
          </w:tcPr>
          <w:p>
            <w:r>
              <w:t>+$3–5K/yr</w:t>
            </w:r>
          </w:p>
        </w:tc>
      </w:tr>
    </w:tbl>
    <w:p/>
    <w:p>
      <w:pPr>
        <w:pStyle w:val="Heading2"/>
      </w:pPr>
      <w:r>
        <w:t>Tier 2 — Close the Margin Gap (Weeks 4,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Est. Impact</w:t>
            </w:r>
          </w:p>
        </w:tc>
      </w:tr>
      <w:tr>
        <w:tc>
          <w:tcPr>
            <w:tcW w:type="dxa" w:w="2880"/>
          </w:tcPr>
          <w:p>
            <w:r>
              <w:t>Weekly stem-buy budget = forecast × 62%</w:t>
            </w:r>
          </w:p>
        </w:tc>
        <w:tc>
          <w:tcPr>
            <w:tcW w:type="dxa" w:w="2880"/>
          </w:tcPr>
          <w:p>
            <w:r>
              <w:t>Wholesale under 45%</w:t>
            </w:r>
          </w:p>
        </w:tc>
        <w:tc>
          <w:tcPr>
            <w:tcW w:type="dxa" w:w="2880"/>
          </w:tcPr>
          <w:p>
            <w:r>
              <w:t>+$8–15K GP/yr</w:t>
            </w:r>
          </w:p>
        </w:tc>
      </w:tr>
      <w:tr>
        <w:tc>
          <w:tcPr>
            <w:tcW w:type="dxa" w:w="2880"/>
          </w:tcPr>
          <w:p>
            <w:r>
              <w:t>Raise Touch of Honey to $80–85</w:t>
            </w:r>
          </w:p>
        </w:tc>
        <w:tc>
          <w:tcPr>
            <w:tcW w:type="dxa" w:w="2880"/>
          </w:tcPr>
          <w:p>
            <w:r>
              <w:t>38% hero GP</w:t>
            </w:r>
          </w:p>
        </w:tc>
        <w:tc>
          <w:tcPr>
            <w:tcW w:type="dxa" w:w="2880"/>
          </w:tcPr>
          <w:p>
            <w:r>
              <w:t>Protect volume leader</w:t>
            </w:r>
          </w:p>
        </w:tc>
      </w:tr>
      <w:tr>
        <w:tc>
          <w:tcPr>
            <w:tcW w:type="dxa" w:w="2880"/>
          </w:tcPr>
          <w:p>
            <w:r>
              <w:t>Recost top 8 SKUs</w:t>
            </w:r>
          </w:p>
        </w:tc>
        <w:tc>
          <w:tcPr>
            <w:tcW w:type="dxa" w:w="2880"/>
          </w:tcPr>
          <w:p>
            <w:r>
              <w:t>Flag below 38%</w:t>
            </w:r>
          </w:p>
        </w:tc>
        <w:tc>
          <w:tcPr>
            <w:tcW w:type="dxa" w:w="2880"/>
          </w:tcPr>
          <w:p>
            <w:r>
              <w:t>Pricing discipline</w:t>
            </w:r>
          </w:p>
        </w:tc>
      </w:tr>
    </w:tbl>
    <w:p/>
    <w:p>
      <w:pPr>
        <w:pStyle w:val="Heading2"/>
      </w:pPr>
      <w:r>
        <w:t>Tier 3 — Retention (Weeks 3,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Est. Impact</w:t>
            </w:r>
          </w:p>
        </w:tc>
      </w:tr>
      <w:tr>
        <w:tc>
          <w:tcPr>
            <w:tcW w:type="dxa" w:w="2880"/>
          </w:tcPr>
          <w:p>
            <w:r>
              <w:t>Merge 5,986 SS emails; occasion capture</w:t>
            </w:r>
          </w:p>
        </w:tc>
        <w:tc>
          <w:tcPr>
            <w:tcW w:type="dxa" w:w="2880"/>
          </w:tcPr>
          <w:p>
            <w:r>
              <w:t>35% repeat in 90 days</w:t>
            </w:r>
          </w:p>
        </w:tc>
        <w:tc>
          <w:tcPr>
            <w:tcW w:type="dxa" w:w="2880"/>
          </w:tcPr>
          <w:p>
            <w:r>
              <w:t>+$25–35K/yr at scale</w:t>
            </w:r>
          </w:p>
        </w:tc>
      </w:tr>
      <w:tr>
        <w:tc>
          <w:tcPr>
            <w:tcW w:type="dxa" w:w="2880"/>
          </w:tcPr>
          <w:p>
            <w:r>
              <w:t>Sub offer to 54 past sub-buyers</w:t>
            </w:r>
          </w:p>
        </w:tc>
        <w:tc>
          <w:tcPr>
            <w:tcW w:type="dxa" w:w="2880"/>
          </w:tcPr>
          <w:p>
            <w:r>
              <w:t>+10 active subs</w:t>
            </w:r>
          </w:p>
        </w:tc>
        <w:tc>
          <w:tcPr>
            <w:tcW w:type="dxa" w:w="2880"/>
          </w:tcPr>
          <w:p>
            <w:r>
              <w:t>+$23K ARR</w:t>
            </w:r>
          </w:p>
        </w:tc>
      </w:tr>
      <w:tr>
        <w:tc>
          <w:tcPr>
            <w:tcW w:type="dxa" w:w="2880"/>
          </w:tcPr>
          <w:p>
            <w:r>
              <w:t>Square email/phone on every tx</w:t>
            </w:r>
          </w:p>
        </w:tc>
        <w:tc>
          <w:tcPr>
            <w:tcW w:type="dxa" w:w="2880"/>
          </w:tcPr>
          <w:p>
            <w:r>
              <w:t>70% capture in 90 days</w:t>
            </w:r>
          </w:p>
        </w:tc>
        <w:tc>
          <w:tcPr>
            <w:tcW w:type="dxa" w:w="2880"/>
          </w:tcPr>
          <w:p>
            <w:r>
              <w:t>Unlocks CRM</w:t>
            </w:r>
          </w:p>
        </w:tc>
      </w:tr>
    </w:tbl>
    <w:p/>
    <w:p>
      <w:pPr>
        <w:pStyle w:val="Heading1"/>
      </w:pPr>
      <w:r>
        <w:t>7. 90-Day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90-Day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12-Month Target</w:t>
            </w:r>
          </w:p>
        </w:tc>
      </w:tr>
      <w:tr>
        <w:tc>
          <w:tcPr>
            <w:tcW w:type="dxa" w:w="2160"/>
          </w:tcPr>
          <w:p>
            <w:r>
              <w:t>POS median AOV</w:t>
            </w:r>
          </w:p>
        </w:tc>
        <w:tc>
          <w:tcPr>
            <w:tcW w:type="dxa" w:w="2160"/>
          </w:tcPr>
          <w:p>
            <w:r>
              <w:t>$49</w:t>
            </w:r>
          </w:p>
        </w:tc>
        <w:tc>
          <w:tcPr>
            <w:tcW w:type="dxa" w:w="2160"/>
          </w:tcPr>
          <w:p>
            <w:r>
              <w:t>$75</w:t>
            </w:r>
          </w:p>
        </w:tc>
        <w:tc>
          <w:tcPr>
            <w:tcW w:type="dxa" w:w="2160"/>
          </w:tcPr>
          <w:p>
            <w:r>
              <w:t>$95+</w:t>
            </w:r>
          </w:p>
        </w:tc>
      </w:tr>
      <w:tr>
        <w:tc>
          <w:tcPr>
            <w:tcW w:type="dxa" w:w="2160"/>
          </w:tcPr>
          <w:p>
            <w:r>
              <w:t>Blended AOV</w:t>
            </w:r>
          </w:p>
        </w:tc>
        <w:tc>
          <w:tcPr>
            <w:tcW w:type="dxa" w:w="2160"/>
          </w:tcPr>
          <w:p>
            <w:r>
              <w:t>$78</w:t>
            </w:r>
          </w:p>
        </w:tc>
        <w:tc>
          <w:tcPr>
            <w:tcW w:type="dxa" w:w="2160"/>
          </w:tcPr>
          <w:p>
            <w:r>
              <w:t>$90</w:t>
            </w:r>
          </w:p>
        </w:tc>
        <w:tc>
          <w:tcPr>
            <w:tcW w:type="dxa" w:w="2160"/>
          </w:tcPr>
          <w:p>
            <w:r>
              <w:t>$110+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38%</w:t>
            </w:r>
          </w:p>
        </w:tc>
        <w:tc>
          <w:tcPr>
            <w:tcW w:type="dxa" w:w="2160"/>
          </w:tcPr>
          <w:p>
            <w:r>
              <w:t>45% → 62% path</w:t>
            </w:r>
          </w:p>
        </w:tc>
      </w:tr>
      <w:tr>
        <w:tc>
          <w:tcPr>
            <w:tcW w:type="dxa" w:w="2160"/>
          </w:tcPr>
          <w:p>
            <w:r>
              <w:t>Wholesale % of revenue</w:t>
            </w:r>
          </w:p>
        </w:tc>
        <w:tc>
          <w:tcPr>
            <w:tcW w:type="dxa" w:w="2160"/>
          </w:tcPr>
          <w:p>
            <w:r>
              <w:t>63%</w:t>
            </w:r>
          </w:p>
        </w:tc>
        <w:tc>
          <w:tcPr>
            <w:tcW w:type="dxa" w:w="2160"/>
          </w:tcPr>
          <w:p>
            <w:r>
              <w:t>&lt;55%</w:t>
            </w:r>
          </w:p>
        </w:tc>
        <w:tc>
          <w:tcPr>
            <w:tcW w:type="dxa" w:w="2160"/>
          </w:tcPr>
          <w:p>
            <w:r>
              <w:t>&lt;40%</w:t>
            </w:r>
          </w:p>
        </w:tc>
      </w:tr>
      <w:tr>
        <w:tc>
          <w:tcPr>
            <w:tcW w:type="dxa" w:w="2160"/>
          </w:tcPr>
          <w:p>
            <w:r>
              <w:t>Card attach</w:t>
            </w:r>
          </w:p>
        </w:tc>
        <w:tc>
          <w:tcPr>
            <w:tcW w:type="dxa" w:w="2160"/>
          </w:tcPr>
          <w:p>
            <w:r>
              <w:t>0.6%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30%+</w:t>
            </w:r>
          </w:p>
        </w:tc>
      </w:tr>
      <w:tr>
        <w:tc>
          <w:tcPr>
            <w:tcW w:type="dxa" w:w="2160"/>
          </w:tcPr>
          <w:p>
            <w:r>
              <w:t>Repeat rate (email)</w:t>
            </w:r>
          </w:p>
        </w:tc>
        <w:tc>
          <w:tcPr>
            <w:tcW w:type="dxa" w:w="2160"/>
          </w:tcPr>
          <w:p>
            <w:r>
              <w:t>21%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40%+</w:t>
            </w:r>
          </w:p>
        </w:tc>
      </w:tr>
      <w:tr>
        <w:tc>
          <w:tcPr>
            <w:tcW w:type="dxa" w:w="2160"/>
          </w:tcPr>
          <w:p>
            <w:r>
              <w:t>Active subscriptions</w:t>
            </w:r>
          </w:p>
        </w:tc>
        <w:tc>
          <w:tcPr>
            <w:tcW w:type="dxa" w:w="2160"/>
          </w:tcPr>
          <w:p>
            <w:r>
              <w:t>~0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+20% YoY</w:t>
            </w:r>
          </w:p>
        </w:tc>
      </w:tr>
    </w:tbl>
    <w:p/>
    <w:p>
      <w:pPr>
        <w:pStyle w:val="Heading1"/>
      </w:pPr>
      <w:r>
        <w:t>8. Monthly Tracking Checklist</w:t>
      </w:r>
    </w:p>
    <w:p>
      <w:pPr>
        <w:pStyle w:val="ListBullet"/>
      </w:pPr>
      <w:r>
        <w:t>Revenue — Square net + SS total + bank deposits</w:t>
      </w:r>
    </w:p>
    <w:p>
      <w:pPr>
        <w:pStyle w:val="ListBullet"/>
      </w:pPr>
      <w:r>
        <w:t>GP% — from accounts (never below 25% in any month)</w:t>
      </w:r>
    </w:p>
    <w:p>
      <w:pPr>
        <w:pStyle w:val="ListBullet"/>
      </w:pPr>
      <w:r>
        <w:t>AOV — POS median, SS median, blended</w:t>
      </w:r>
    </w:p>
    <w:p>
      <w:pPr>
        <w:pStyle w:val="ListBullet"/>
      </w:pPr>
      <w:r>
        <w:t>Online % — maintain 45–50%+</w:t>
      </w:r>
    </w:p>
    <w:p>
      <w:pPr>
        <w:pStyle w:val="ListBullet"/>
      </w:pPr>
      <w:r>
        <w:t>Card attach % — target 25%+</w:t>
      </w:r>
    </w:p>
    <w:p>
      <w:pPr>
        <w:pStyle w:val="ListBullet"/>
      </w:pPr>
      <w:r>
        <w:t>New vs returning email orders — target 45%+ returning</w:t>
      </w:r>
    </w:p>
    <w:p>
      <w:pPr>
        <w:pStyle w:val="ListBullet"/>
      </w:pPr>
      <w:r>
        <w:t>Sub active count — manual until POS tracks</w:t>
      </w:r>
    </w:p>
    <w:p>
      <w:pPr>
        <w:pStyle w:val="Heading1"/>
      </w:pPr>
      <w:r>
        <w:t>Appendix —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Revenue, GP%, wholesale %</w:t>
            </w:r>
          </w:p>
        </w:tc>
        <w:tc>
          <w:tcPr>
            <w:tcW w:type="dxa" w:w="2880"/>
          </w:tcPr>
          <w:p>
            <w:r>
              <w:t>Accounts forensic CSV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AOV, channel mix, seasonality</w:t>
            </w:r>
          </w:p>
        </w:tc>
        <w:tc>
          <w:tcPr>
            <w:tcW w:type="dxa" w:w="2880"/>
          </w:tcPr>
          <w:p>
            <w:r>
              <w:t>Square + Squarespace exports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Product margins</w:t>
            </w:r>
          </w:p>
        </w:tc>
        <w:tc>
          <w:tcPr>
            <w:tcW w:type="dxa" w:w="2880"/>
          </w:tcPr>
          <w:p>
            <w:r>
              <w:t>Weekly COGS allocation model</w:t>
            </w:r>
          </w:p>
        </w:tc>
        <w:tc>
          <w:tcPr>
            <w:tcW w:type="dxa" w:w="2880"/>
          </w:tcPr>
          <w:p>
            <w:r>
              <w:t>Medium (predicted)</w:t>
            </w:r>
          </w:p>
        </w:tc>
      </w:tr>
      <w:tr>
        <w:tc>
          <w:tcPr>
            <w:tcW w:type="dxa" w:w="2880"/>
          </w:tcPr>
          <w:p>
            <w:r>
              <w:t>Wedding / corporate</w:t>
            </w:r>
          </w:p>
        </w:tc>
        <w:tc>
          <w:tcPr>
            <w:tcW w:type="dxa" w:w="2880"/>
          </w:tcPr>
          <w:p>
            <w:r>
              <w:t>Not in exports</w:t>
            </w:r>
          </w:p>
        </w:tc>
        <w:tc>
          <w:tcPr>
            <w:tcW w:type="dxa" w:w="2880"/>
          </w:tcPr>
          <w:p>
            <w:r>
              <w:t>Low — needs tagging</w:t>
            </w:r>
          </w:p>
        </w:tc>
      </w:tr>
      <w:tr>
        <w:tc>
          <w:tcPr>
            <w:tcW w:type="dxa" w:w="2880"/>
          </w:tcPr>
          <w:p>
            <w:r>
              <w:t>Benchmarks</w:t>
            </w:r>
          </w:p>
        </w:tc>
        <w:tc>
          <w:tcPr>
            <w:tcW w:type="dxa" w:w="2880"/>
          </w:tcPr>
          <w:p>
            <w:r>
              <w:t>Industry benchmarks doc</w:t>
            </w:r>
          </w:p>
        </w:tc>
        <w:tc>
          <w:tcPr>
            <w:tcW w:type="dxa" w:w="2880"/>
          </w:tcPr>
          <w:p>
            <w:r>
              <w:t>Reference only</w:t>
            </w:r>
          </w:p>
        </w:tc>
      </w:tr>
    </w:tbl>
    <w:p/>
    <w:p/>
    <w:p>
      <w:pPr>
        <w:jc w:val="center"/>
      </w:pPr>
      <w:r>
        <w:rPr>
          <w:color w:val="888888"/>
          <w:sz w:val="18"/>
        </w:rPr>
        <w:t>Dandelion Flowers · 1548 Webster St, Alameda, CA 94501 · (510) 522-2275 · Generated from commerce exports + accounts COGS · July 26,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