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smdcp" ContentType="application/vnd.openxmlformats-package.core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65fc9c5b6ff419f" /><Relationship Type="http://schemas.openxmlformats.org/package/2006/relationships/metadata/core-properties" Target="/package/services/metadata/core-properties/55c9a2bf2ae941888c559e06a94cd956.psmdcp" Id="Rdd03a693929c4e29" /></Relationships>
</file>

<file path=word/document.xml><?xml version="1.0" encoding="utf-8"?>
<w:document xmlns:w="http://schemas.openxmlformats.org/wordprocessingml/2006/main">
  <w:body>
    <w:p>
      <w:pPr>
        <w:pStyle w:val="Title"/>
        <w:keepNext/>
        <w:pBdr>
          <w:bottom w:val="single" w:color="E6398D" w:sz="18" w:space="7"/>
        </w:pBdr>
        <w:spacing w:before="0" w:after="100" w:line="240" w:lineRule="auto"/>
      </w:pPr>
      <w:r>
        <w:t>INAAGAPAY ADMIN WEB - MANUAL TEST CASES</w:t>
      </w:r>
    </w:p>
    <w:p>
      <w:pPr>
        <w:pStyle w:val="Subtitle"/>
        <w:keepNext/>
        <w:jc w:val="left"/>
      </w:pPr>
      <w:r>
        <w:t xml:space="preserve">Scope: admin-web only | Test type: manual functional, security, validation, and regression | Baseline: Chrome or Edge with test Supabase data</w:t>
      </w:r>
    </w:p>
    <w:p>
      <w:pPr>
        <w:pStyle w:val="Meta"/>
        <w:keepNext/>
        <w:shd w:val="clear" w:fill="F7F2F5"/>
        <w:spacing w:before="20" w:after="100" w:line="240" w:lineRule="auto"/>
        <w:ind w:left="100" w:right="100"/>
      </w:pPr>
      <w:r>
        <w:rPr>
          <w:rFonts w:ascii="Calibri" w:hAnsi="Calibri" w:eastAsia="Calibri" w:cs="Calibri"/>
          <w:b/>
          <w:bCs/>
          <w:color w:val="382A31"/>
          <w:sz w:val="18"/>
          <w:szCs w:val="18"/>
        </w:rPr>
        <w:t xml:space="preserve">Iteration: </w:t>
      </w:r>
      <w:r>
        <w:rPr>
          <w:rFonts w:ascii="Calibri" w:hAnsi="Calibri" w:eastAsia="Calibri" w:cs="Calibri"/>
          <w:color w:val="66545D"/>
          <w:sz w:val="18"/>
          <w:szCs w:val="18"/>
        </w:rPr>
        <w:t xml:space="preserve">____________    </w:t>
      </w:r>
      <w:r>
        <w:rPr>
          <w:rFonts w:ascii="Calibri" w:hAnsi="Calibri" w:eastAsia="Calibri" w:cs="Calibri"/>
          <w:b/>
          <w:bCs/>
          <w:color w:val="382A31"/>
          <w:sz w:val="18"/>
          <w:szCs w:val="18"/>
        </w:rPr>
        <w:t xml:space="preserve">Tester: </w:t>
      </w:r>
      <w:r>
        <w:rPr>
          <w:rFonts w:ascii="Calibri" w:hAnsi="Calibri" w:eastAsia="Calibri" w:cs="Calibri"/>
          <w:color w:val="66545D"/>
          <w:sz w:val="18"/>
          <w:szCs w:val="18"/>
        </w:rPr>
        <w:t xml:space="preserve">____________________    </w:t>
      </w:r>
      <w:r>
        <w:rPr>
          <w:rFonts w:ascii="Calibri" w:hAnsi="Calibri" w:eastAsia="Calibri" w:cs="Calibri"/>
          <w:b/>
          <w:bCs/>
          <w:color w:val="382A31"/>
          <w:sz w:val="18"/>
          <w:szCs w:val="18"/>
        </w:rPr>
        <w:t xml:space="preserve">Execution date: </w:t>
      </w:r>
      <w:r>
        <w:rPr>
          <w:rFonts w:ascii="Calibri" w:hAnsi="Calibri" w:eastAsia="Calibri" w:cs="Calibri"/>
          <w:color w:val="66545D"/>
          <w:sz w:val="18"/>
          <w:szCs w:val="18"/>
        </w:rPr>
        <w:t xml:space="preserve">____________    </w:t>
      </w:r>
      <w:r>
        <w:rPr>
          <w:rFonts w:ascii="Calibri" w:hAnsi="Calibri" w:eastAsia="Calibri" w:cs="Calibri"/>
          <w:b/>
          <w:bCs/>
          <w:color w:val="382A31"/>
          <w:sz w:val="18"/>
          <w:szCs w:val="18"/>
        </w:rPr>
        <w:t xml:space="preserve">Browser / build: </w:t>
      </w:r>
      <w:r>
        <w:rPr>
          <w:rFonts w:ascii="Calibri" w:hAnsi="Calibri" w:eastAsia="Calibri" w:cs="Calibri"/>
          <w:color w:val="66545D"/>
          <w:sz w:val="18"/>
          <w:szCs w:val="18"/>
        </w:rPr>
        <w:t xml:space="preserve">________________________</w:t>
      </w:r>
    </w:p>
    <w:p>
      <w:pPr>
        <w:pStyle w:val="Heading2"/>
        <w:keepNext/>
        <w:jc w:val="left"/>
      </w:pPr>
      <w:r>
        <w:t xml:space="preserve">COMMON PRECONDITIONS</w:t>
      </w:r>
    </w:p>
    <w:p>
      <w:pPr>
        <w:pStyle w:val="Meta"/>
        <w:keepNext/>
        <w:numPr>
          <w:ilvl w:val="0"/>
          <w:numId w:val="1"/>
        </w:numPr>
        <w:spacing w:before="0" w:after="50" w:line="245" w:lineRule="auto"/>
      </w:pPr>
      <w:r>
        <w:t xml:space="preserve">Use dedicated test accounts for an active/verified MHO, RHU admin, midwife, mother, temporary-password user, unverified user, and suspended user.</w:t>
      </w:r>
    </w:p>
    <w:p>
      <w:pPr>
        <w:pStyle w:val="Meta"/>
        <w:keepNext/>
        <w:numPr>
          <w:ilvl w:val="0"/>
          <w:numId w:val="1"/>
        </w:numPr>
        <w:spacing w:before="0" w:after="50" w:line="245" w:lineRule="auto"/>
      </w:pPr>
      <w:r>
        <w:t xml:space="preserve">Seed representative facilities, accounts, patients, inventory batches, stock requests, reports, and audit entries. Use non-production data only.</w:t>
      </w:r>
    </w:p>
    <w:p>
      <w:pPr>
        <w:pStyle w:val="Meta"/>
        <w:keepNext/>
        <w:numPr>
          <w:ilvl w:val="0"/>
          <w:numId w:val="1"/>
        </w:numPr>
        <w:spacing w:before="0" w:after="50" w:line="245" w:lineRule="auto"/>
      </w:pPr>
      <w:r>
        <w:t xml:space="preserve">Begin each authentication/security case with a clean browser session unless the steps say otherwise. Do not perform backup/restore tests against production.</w:t>
      </w:r>
    </w:p>
    <w:p>
      <w:pPr>
        <w:spacing w:before="40" w:after="40"/>
      </w:pPr>
    </w:p>
    <w:tbl>
      <w:tblPr>
        <w:tblW w:w="14832" w:type="dxa"/>
        <w:tblInd w:w="120" w:type="dxa"/>
        <w:tblBorders>
          <w:top w:val="single" w:color="E2CDD7" w:sz="6"/>
          <w:left w:val="single" w:color="E2CDD7" w:sz="6"/>
          <w:bottom w:val="single" w:color="E2CDD7" w:sz="6"/>
          <w:right w:val="single" w:color="E2CDD7" w:sz="6"/>
          <w:insideH w:val="single" w:color="E2CDD7" w:sz="4"/>
          <w:insideV w:val="single" w:color="E2CDD7" w:sz="4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/>
      </w:tblPr>
      <w:tblGrid>
        <w:gridCol w:w="1008"/>
        <w:gridCol w:w="1728"/>
        <w:gridCol w:w="4464"/>
        <w:gridCol w:w="4320"/>
        <w:gridCol w:w="1080"/>
        <w:gridCol w:w="1152"/>
        <w:gridCol w:w="1080"/>
      </w:tblGrid>
      <w:tr>
        <w:trPr>
          <w:tblHeader/>
          <w:cantSplit/>
        </w:trPr>
        <w:tc>
          <w:tcPr>
            <w:tcW w:w="1008" w:type="dxa"/>
            <w:shd w:val="clear" w:fill="7D214E"/>
            <w:vAlign w:val="center"/>
          </w:tcPr>
          <w:p>
            <w:pPr>
              <w:pStyle w:val="TableHeader"/>
              <w:keepNext/>
              <w:spacing w:before="20" w:after="20" w:line="220" w:lineRule="auto"/>
              <w:jc w:val="center"/>
            </w:pPr>
            <w:r>
              <w:t>TEST ID</w:t>
            </w:r>
          </w:p>
        </w:tc>
        <w:tc>
          <w:tcPr>
            <w:tcW w:w="1728" w:type="dxa"/>
            <w:shd w:val="clear" w:fill="7D214E"/>
            <w:vAlign w:val="center"/>
          </w:tcPr>
          <w:p>
            <w:pPr>
              <w:pStyle w:val="TableHeader"/>
              <w:keepNext/>
              <w:spacing w:before="20" w:after="20" w:line="220" w:lineRule="auto"/>
              <w:jc w:val="center"/>
            </w:pPr>
            <w:r>
              <w:t>FEATURE</w:t>
            </w:r>
          </w:p>
        </w:tc>
        <w:tc>
          <w:tcPr>
            <w:tcW w:w="4464" w:type="dxa"/>
            <w:shd w:val="clear" w:fill="7D214E"/>
            <w:vAlign w:val="center"/>
          </w:tcPr>
          <w:p>
            <w:pPr>
              <w:pStyle w:val="TableHeader"/>
              <w:keepNext/>
              <w:spacing w:before="20" w:after="20" w:line="220" w:lineRule="auto"/>
              <w:jc w:val="center"/>
            </w:pPr>
            <w:r>
              <w:t>SCENARIO &amp; STEPS</w:t>
            </w:r>
          </w:p>
        </w:tc>
        <w:tc>
          <w:tcPr>
            <w:tcW w:w="4320" w:type="dxa"/>
            <w:shd w:val="clear" w:fill="7D214E"/>
            <w:vAlign w:val="center"/>
          </w:tcPr>
          <w:p>
            <w:pPr>
              <w:pStyle w:val="TableHeader"/>
              <w:keepNext/>
              <w:spacing w:before="20" w:after="20" w:line="220" w:lineRule="auto"/>
              <w:jc w:val="center"/>
            </w:pPr>
            <w:r>
              <w:t>EXPECTED RESULT</w:t>
            </w:r>
          </w:p>
        </w:tc>
        <w:tc>
          <w:tcPr>
            <w:tcW w:w="1080" w:type="dxa"/>
            <w:shd w:val="clear" w:fill="7D214E"/>
            <w:vAlign w:val="center"/>
          </w:tcPr>
          <w:p>
            <w:pPr>
              <w:pStyle w:val="TableHeader"/>
              <w:keepNext/>
              <w:spacing w:before="20" w:after="20" w:line="220" w:lineRule="auto"/>
              <w:jc w:val="center"/>
            </w:pPr>
            <w:r>
              <w:t>PRIORITY</w:t>
            </w:r>
          </w:p>
        </w:tc>
        <w:tc>
          <w:tcPr>
            <w:tcW w:w="1152" w:type="dxa"/>
            <w:shd w:val="clear" w:fill="7D214E"/>
            <w:vAlign w:val="center"/>
          </w:tcPr>
          <w:p>
            <w:pPr>
              <w:pStyle w:val="TableHeader"/>
              <w:keepNext/>
              <w:spacing w:before="20" w:after="20" w:line="220" w:lineRule="auto"/>
              <w:jc w:val="center"/>
            </w:pPr>
            <w:r>
              <w:t>STATUS</w:t>
            </w:r>
          </w:p>
        </w:tc>
        <w:tc>
          <w:tcPr>
            <w:tcW w:w="1080" w:type="dxa"/>
            <w:shd w:val="clear" w:fill="7D214E"/>
            <w:vAlign w:val="center"/>
          </w:tcPr>
          <w:p>
            <w:pPr>
              <w:pStyle w:val="TableHeader"/>
              <w:keepNext/>
              <w:spacing w:before="20" w:after="20" w:line="220" w:lineRule="auto"/>
              <w:jc w:val="center"/>
            </w:pPr>
            <w:r>
              <w:t>ACTUAL</w:t>
            </w:r>
          </w:p>
        </w:tc>
      </w:tr>
      <w:tr>
        <w:trPr>
          <w:cantSplit/>
        </w:trPr>
        <w:tc>
          <w:tcPr>
            <w:tcW w:w="1008" w:type="dxa"/>
            <w:shd w:val="clear" w:fill="FFFFFF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D214E"/>
                <w:sz w:val="17"/>
                <w:szCs w:val="17"/>
              </w:rPr>
              <w:t xml:space="preserve">AW-TC-001</w:t>
            </w:r>
          </w:p>
        </w:tc>
        <w:tc>
          <w:tcPr>
            <w:tcW w:w="1728" w:type="dxa"/>
            <w:shd w:val="clear" w:fill="FFFFFF"/>
            <w:vAlign w:val="center"/>
          </w:tcPr>
          <w:p>
            <w:pPr>
              <w:pStyle w:val="TableBody"/>
              <w:spacing w:before="0" w:after="0" w:line="23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7D214E"/>
                <w:sz w:val="17"/>
                <w:szCs w:val="17"/>
              </w:rPr>
              <w:t xml:space="preserve">Authentication</w:t>
            </w:r>
          </w:p>
        </w:tc>
        <w:tc>
          <w:tcPr>
            <w:tcW w:w="4464" w:type="dxa"/>
            <w:shd w:val="clear" w:fill="FFFFFF"/>
            <w:vAlign w:val="center"/>
          </w:tcPr>
          <w:p>
            <w:pPr>
              <w:pStyle w:val="TableBody"/>
              <w:keepNext/>
              <w:spacing w:before="0" w:after="25" w:line="230" w:lineRule="auto"/>
            </w:pPr>
            <w:r>
              <w:rPr>
                <w:rFonts w:ascii="Calibri" w:hAnsi="Calibri" w:eastAsia="Calibri" w:cs="Calibri"/>
                <w:b/>
                <w:bCs/>
                <w:color w:val="382A31"/>
                <w:sz w:val="17"/>
                <w:szCs w:val="17"/>
              </w:rPr>
              <w:t xml:space="preserve">Valid RHU administrator login</w:t>
            </w:r>
          </w:p>
          <w:p>
            <w:pPr>
              <w:pStyle w:val="TableBody"/>
              <w:spacing w:before="0" w:after="0" w:line="230" w:lineRule="auto"/>
            </w:pPr>
            <w:r>
              <w:rPr>
                <w:rFonts w:ascii="Calibri" w:hAnsi="Calibri" w:eastAsia="Calibri" w:cs="Calibri"/>
                <w:color w:val="382A31"/>
                <w:sz w:val="16"/>
                <w:szCs w:val="16"/>
              </w:rPr>
              <w:t xml:space="preserve">1. Open admin-web/index.html. 2. Enter an active, verified RHU admin email and password. 3. Select Sign In.</w:t>
            </w:r>
          </w:p>
        </w:tc>
        <w:tc>
          <w:tcPr>
            <w:tcW w:w="4320" w:type="dxa"/>
            <w:shd w:val="clear" w:fill="FFFFFF"/>
            <w:vAlign w:val="center"/>
          </w:tcPr>
          <w:p>
            <w:pPr>
              <w:pStyle w:val="TableBody"/>
              <w:spacing w:before="0" w:after="0" w:line="230" w:lineRule="auto"/>
              <w:jc w:val="left"/>
            </w:pPr>
            <w:r>
              <w:rPr>
                <w:rFonts w:ascii="Calibri" w:hAnsi="Calibri" w:eastAsia="Calibri" w:cs="Calibri"/>
                <w:color w:val="382A31"/>
                <w:sz w:val="17"/>
                <w:szCs w:val="17"/>
              </w:rPr>
              <w:t xml:space="preserve">Authentication succeeds; an admin session and RHU portal scope are stored; the user lands on Dashboard and sees only the assigned RHU and its child facilities.</w:t>
            </w:r>
          </w:p>
        </w:tc>
        <w:tc>
          <w:tcPr>
            <w:tcW w:w="1080" w:type="dxa"/>
            <w:shd w:val="clear" w:fill="FFFFFF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D214E"/>
                <w:sz w:val="17"/>
                <w:szCs w:val="17"/>
              </w:rPr>
              <w:t xml:space="preserve">P0</w:t>
            </w:r>
          </w:p>
        </w:tc>
        <w:tc>
          <w:tcPr>
            <w:tcW w:w="1152" w:type="dxa"/>
            <w:shd w:val="clear" w:fill="FFFFFF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color w:val="382A31"/>
                <w:sz w:val="17"/>
                <w:szCs w:val="17"/>
              </w:rPr>
              <w:t xml:space="preserve">Not Started</w:t>
            </w:r>
          </w:p>
        </w:tc>
        <w:tc>
          <w:tcPr>
            <w:tcW w:w="1080" w:type="dxa"/>
            <w:shd w:val="clear" w:fill="FFFFFF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color w:val="382A31"/>
                <w:sz w:val="17"/>
                <w:szCs w:val="17"/>
              </w:rPr>
              <w:t xml:space="preserve">-</w:t>
            </w:r>
          </w:p>
        </w:tc>
      </w:tr>
      <w:tr>
        <w:trPr>
          <w:cantSplit/>
        </w:trPr>
        <w:tc>
          <w:tcPr>
            <w:tcW w:w="1008" w:type="dxa"/>
            <w:shd w:val="clear" w:fill="FFF7FA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D214E"/>
                <w:sz w:val="17"/>
                <w:szCs w:val="17"/>
              </w:rPr>
              <w:t xml:space="preserve">AW-TC-002</w:t>
            </w:r>
          </w:p>
        </w:tc>
        <w:tc>
          <w:tcPr>
            <w:tcW w:w="1728" w:type="dxa"/>
            <w:shd w:val="clear" w:fill="FFF7FA"/>
            <w:vAlign w:val="center"/>
          </w:tcPr>
          <w:p>
            <w:pPr>
              <w:pStyle w:val="TableBody"/>
              <w:spacing w:before="0" w:after="0" w:line="23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7D214E"/>
                <w:sz w:val="17"/>
                <w:szCs w:val="17"/>
              </w:rPr>
              <w:t xml:space="preserve">Authentication</w:t>
            </w:r>
          </w:p>
        </w:tc>
        <w:tc>
          <w:tcPr>
            <w:tcW w:w="4464" w:type="dxa"/>
            <w:shd w:val="clear" w:fill="FFF7FA"/>
            <w:vAlign w:val="center"/>
          </w:tcPr>
          <w:p>
            <w:pPr>
              <w:pStyle w:val="TableBody"/>
              <w:keepNext/>
              <w:spacing w:before="0" w:after="25" w:line="230" w:lineRule="auto"/>
            </w:pPr>
            <w:r>
              <w:rPr>
                <w:rFonts w:ascii="Calibri" w:hAnsi="Calibri" w:eastAsia="Calibri" w:cs="Calibri"/>
                <w:b/>
                <w:bCs/>
                <w:color w:val="382A31"/>
                <w:sz w:val="17"/>
                <w:szCs w:val="17"/>
              </w:rPr>
              <w:t xml:space="preserve">Valid MHO login and municipal scope</w:t>
            </w:r>
          </w:p>
          <w:p>
            <w:pPr>
              <w:pStyle w:val="TableBody"/>
              <w:spacing w:before="0" w:after="0" w:line="230" w:lineRule="auto"/>
            </w:pPr>
            <w:r>
              <w:rPr>
                <w:rFonts w:ascii="Calibri" w:hAnsi="Calibri" w:eastAsia="Calibri" w:cs="Calibri"/>
                <w:color w:val="382A31"/>
                <w:sz w:val="16"/>
                <w:szCs w:val="16"/>
              </w:rPr>
              <w:t xml:space="preserve">1. Clear the prior session. 2. Sign in with an active, verified MHO account. 3. Open Dashboard and Facilities.</w:t>
            </w:r>
          </w:p>
        </w:tc>
        <w:tc>
          <w:tcPr>
            <w:tcW w:w="4320" w:type="dxa"/>
            <w:shd w:val="clear" w:fill="FFF7FA"/>
            <w:vAlign w:val="center"/>
          </w:tcPr>
          <w:p>
            <w:pPr>
              <w:pStyle w:val="TableBody"/>
              <w:spacing w:before="0" w:after="0" w:line="230" w:lineRule="auto"/>
              <w:jc w:val="left"/>
            </w:pPr>
            <w:r>
              <w:rPr>
                <w:rFonts w:ascii="Calibri" w:hAnsi="Calibri" w:eastAsia="Calibri" w:cs="Calibri"/>
                <w:color w:val="382A31"/>
                <w:sz w:val="17"/>
                <w:szCs w:val="17"/>
              </w:rPr>
              <w:t xml:space="preserve">MHO session and municipal scope are stored; municipal labels and MHO-only facility navigation appear; data covers the authorized RHUs and subordinate facilities only.</w:t>
            </w:r>
          </w:p>
        </w:tc>
        <w:tc>
          <w:tcPr>
            <w:tcW w:w="1080" w:type="dxa"/>
            <w:shd w:val="clear" w:fill="FFF7FA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D214E"/>
                <w:sz w:val="17"/>
                <w:szCs w:val="17"/>
              </w:rPr>
              <w:t xml:space="preserve">P0</w:t>
            </w:r>
          </w:p>
        </w:tc>
        <w:tc>
          <w:tcPr>
            <w:tcW w:w="1152" w:type="dxa"/>
            <w:shd w:val="clear" w:fill="FFF7FA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color w:val="382A31"/>
                <w:sz w:val="17"/>
                <w:szCs w:val="17"/>
              </w:rPr>
              <w:t xml:space="preserve">Not Started</w:t>
            </w:r>
          </w:p>
        </w:tc>
        <w:tc>
          <w:tcPr>
            <w:tcW w:w="1080" w:type="dxa"/>
            <w:shd w:val="clear" w:fill="FFF7FA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color w:val="382A31"/>
                <w:sz w:val="17"/>
                <w:szCs w:val="17"/>
              </w:rPr>
              <w:t xml:space="preserve">-</w:t>
            </w:r>
          </w:p>
        </w:tc>
      </w:tr>
      <w:tr>
        <w:trPr>
          <w:cantSplit/>
        </w:trPr>
        <w:tc>
          <w:tcPr>
            <w:tcW w:w="1008" w:type="dxa"/>
            <w:shd w:val="clear" w:fill="FFFFFF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D214E"/>
                <w:sz w:val="17"/>
                <w:szCs w:val="17"/>
              </w:rPr>
              <w:t xml:space="preserve">AW-TC-003</w:t>
            </w:r>
          </w:p>
        </w:tc>
        <w:tc>
          <w:tcPr>
            <w:tcW w:w="1728" w:type="dxa"/>
            <w:shd w:val="clear" w:fill="FFFFFF"/>
            <w:vAlign w:val="center"/>
          </w:tcPr>
          <w:p>
            <w:pPr>
              <w:pStyle w:val="TableBody"/>
              <w:spacing w:before="0" w:after="0" w:line="23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7D214E"/>
                <w:sz w:val="17"/>
                <w:szCs w:val="17"/>
              </w:rPr>
              <w:t xml:space="preserve">Login Validation</w:t>
            </w:r>
          </w:p>
        </w:tc>
        <w:tc>
          <w:tcPr>
            <w:tcW w:w="4464" w:type="dxa"/>
            <w:shd w:val="clear" w:fill="FFFFFF"/>
            <w:vAlign w:val="center"/>
          </w:tcPr>
          <w:p>
            <w:pPr>
              <w:pStyle w:val="TableBody"/>
              <w:keepNext/>
              <w:spacing w:before="0" w:after="25" w:line="230" w:lineRule="auto"/>
            </w:pPr>
            <w:r>
              <w:rPr>
                <w:rFonts w:ascii="Calibri" w:hAnsi="Calibri" w:eastAsia="Calibri" w:cs="Calibri"/>
                <w:b/>
                <w:bCs/>
                <w:color w:val="382A31"/>
                <w:sz w:val="17"/>
                <w:szCs w:val="17"/>
              </w:rPr>
              <w:t xml:space="preserve">Blank or invalid credentials</w:t>
            </w:r>
          </w:p>
          <w:p>
            <w:pPr>
              <w:pStyle w:val="TableBody"/>
              <w:spacing w:before="0" w:after="0" w:line="230" w:lineRule="auto"/>
            </w:pPr>
            <w:r>
              <w:rPr>
                <w:rFonts w:ascii="Calibri" w:hAnsi="Calibri" w:eastAsia="Calibri" w:cs="Calibri"/>
                <w:color w:val="382A31"/>
                <w:sz w:val="16"/>
                <w:szCs w:val="16"/>
              </w:rPr>
              <w:t xml:space="preserve">1. Submit with either field blank. 2. Retry with an unknown email. 3. Retry with a valid email and wrong password.</w:t>
            </w:r>
          </w:p>
        </w:tc>
        <w:tc>
          <w:tcPr>
            <w:tcW w:w="4320" w:type="dxa"/>
            <w:shd w:val="clear" w:fill="FFFFFF"/>
            <w:vAlign w:val="center"/>
          </w:tcPr>
          <w:p>
            <w:pPr>
              <w:pStyle w:val="TableBody"/>
              <w:spacing w:before="0" w:after="0" w:line="230" w:lineRule="auto"/>
              <w:jc w:val="left"/>
            </w:pPr>
            <w:r>
              <w:rPr>
                <w:rFonts w:ascii="Calibri" w:hAnsi="Calibri" w:eastAsia="Calibri" w:cs="Calibri"/>
                <w:color w:val="382A31"/>
                <w:sz w:val="17"/>
                <w:szCs w:val="17"/>
              </w:rPr>
              <w:t xml:space="preserve">Blank input shows the required-credentials message. Unknown email and wrong password show the same generic invalid-credentials message. No portal session is created and no protected page opens.</w:t>
            </w:r>
          </w:p>
        </w:tc>
        <w:tc>
          <w:tcPr>
            <w:tcW w:w="1080" w:type="dxa"/>
            <w:shd w:val="clear" w:fill="FFFFFF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D214E"/>
                <w:sz w:val="17"/>
                <w:szCs w:val="17"/>
              </w:rPr>
              <w:t xml:space="preserve">P0</w:t>
            </w:r>
          </w:p>
        </w:tc>
        <w:tc>
          <w:tcPr>
            <w:tcW w:w="1152" w:type="dxa"/>
            <w:shd w:val="clear" w:fill="FFFFFF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color w:val="382A31"/>
                <w:sz w:val="17"/>
                <w:szCs w:val="17"/>
              </w:rPr>
              <w:t xml:space="preserve">Not Started</w:t>
            </w:r>
          </w:p>
        </w:tc>
        <w:tc>
          <w:tcPr>
            <w:tcW w:w="1080" w:type="dxa"/>
            <w:shd w:val="clear" w:fill="FFFFFF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color w:val="382A31"/>
                <w:sz w:val="17"/>
                <w:szCs w:val="17"/>
              </w:rPr>
              <w:t xml:space="preserve">-</w:t>
            </w:r>
          </w:p>
        </w:tc>
      </w:tr>
      <w:tr>
        <w:trPr>
          <w:cantSplit/>
        </w:trPr>
        <w:tc>
          <w:tcPr>
            <w:tcW w:w="1008" w:type="dxa"/>
            <w:shd w:val="clear" w:fill="FFF7FA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D214E"/>
                <w:sz w:val="17"/>
                <w:szCs w:val="17"/>
              </w:rPr>
              <w:t xml:space="preserve">AW-TC-004</w:t>
            </w:r>
          </w:p>
        </w:tc>
        <w:tc>
          <w:tcPr>
            <w:tcW w:w="1728" w:type="dxa"/>
            <w:shd w:val="clear" w:fill="FFF7FA"/>
            <w:vAlign w:val="center"/>
          </w:tcPr>
          <w:p>
            <w:pPr>
              <w:pStyle w:val="TableBody"/>
              <w:spacing w:before="0" w:after="0" w:line="23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7D214E"/>
                <w:sz w:val="17"/>
                <w:szCs w:val="17"/>
              </w:rPr>
              <w:t xml:space="preserve">Role &amp; Account State</w:t>
            </w:r>
          </w:p>
        </w:tc>
        <w:tc>
          <w:tcPr>
            <w:tcW w:w="4464" w:type="dxa"/>
            <w:shd w:val="clear" w:fill="FFF7FA"/>
            <w:vAlign w:val="center"/>
          </w:tcPr>
          <w:p>
            <w:pPr>
              <w:pStyle w:val="TableBody"/>
              <w:keepNext/>
              <w:spacing w:before="0" w:after="25" w:line="230" w:lineRule="auto"/>
            </w:pPr>
            <w:r>
              <w:rPr>
                <w:rFonts w:ascii="Calibri" w:hAnsi="Calibri" w:eastAsia="Calibri" w:cs="Calibri"/>
                <w:b/>
                <w:bCs/>
                <w:color w:val="382A31"/>
                <w:sz w:val="17"/>
                <w:szCs w:val="17"/>
              </w:rPr>
              <w:t xml:space="preserve">Reject unauthorized or unusable accounts</w:t>
            </w:r>
          </w:p>
          <w:p>
            <w:pPr>
              <w:pStyle w:val="TableBody"/>
              <w:spacing w:before="0" w:after="0" w:line="230" w:lineRule="auto"/>
            </w:pPr>
            <w:r>
              <w:rPr>
                <w:rFonts w:ascii="Calibri" w:hAnsi="Calibri" w:eastAsia="Calibri" w:cs="Calibri"/>
                <w:color w:val="382A31"/>
                <w:sz w:val="16"/>
                <w:szCs w:val="16"/>
              </w:rPr>
              <w:t xml:space="preserve">Attempt login using: (a) midwife, (b) mother, (c) unverified admin, (d) inactive admin, and (e) suspended admin.</w:t>
            </w:r>
          </w:p>
        </w:tc>
        <w:tc>
          <w:tcPr>
            <w:tcW w:w="4320" w:type="dxa"/>
            <w:shd w:val="clear" w:fill="FFF7FA"/>
            <w:vAlign w:val="center"/>
          </w:tcPr>
          <w:p>
            <w:pPr>
              <w:pStyle w:val="TableBody"/>
              <w:spacing w:before="0" w:after="0" w:line="230" w:lineRule="auto"/>
              <w:jc w:val="left"/>
            </w:pPr>
            <w:r>
              <w:rPr>
                <w:rFonts w:ascii="Calibri" w:hAnsi="Calibri" w:eastAsia="Calibri" w:cs="Calibri"/>
                <w:color w:val="382A31"/>
                <w:sz w:val="17"/>
                <w:szCs w:val="17"/>
              </w:rPr>
              <w:t xml:space="preserve">Mobile-only roles receive the access-denied message. Unverified and inactive/suspended accounts receive their applicable status message. Access is blocked and local session/scope data remain absent.</w:t>
            </w:r>
          </w:p>
        </w:tc>
        <w:tc>
          <w:tcPr>
            <w:tcW w:w="1080" w:type="dxa"/>
            <w:shd w:val="clear" w:fill="FFF7FA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D214E"/>
                <w:sz w:val="17"/>
                <w:szCs w:val="17"/>
              </w:rPr>
              <w:t xml:space="preserve">P0</w:t>
            </w:r>
          </w:p>
        </w:tc>
        <w:tc>
          <w:tcPr>
            <w:tcW w:w="1152" w:type="dxa"/>
            <w:shd w:val="clear" w:fill="FFF7FA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color w:val="382A31"/>
                <w:sz w:val="17"/>
                <w:szCs w:val="17"/>
              </w:rPr>
              <w:t xml:space="preserve">Not Started</w:t>
            </w:r>
          </w:p>
        </w:tc>
        <w:tc>
          <w:tcPr>
            <w:tcW w:w="1080" w:type="dxa"/>
            <w:shd w:val="clear" w:fill="FFF7FA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color w:val="382A31"/>
                <w:sz w:val="17"/>
                <w:szCs w:val="17"/>
              </w:rPr>
              <w:t xml:space="preserve">-</w:t>
            </w:r>
          </w:p>
        </w:tc>
      </w:tr>
      <w:tr>
        <w:trPr>
          <w:cantSplit/>
        </w:trPr>
        <w:tc>
          <w:tcPr>
            <w:tcW w:w="1008" w:type="dxa"/>
            <w:shd w:val="clear" w:fill="FFFFFF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D214E"/>
                <w:sz w:val="17"/>
                <w:szCs w:val="17"/>
              </w:rPr>
              <w:t xml:space="preserve">AW-TC-005</w:t>
            </w:r>
          </w:p>
        </w:tc>
        <w:tc>
          <w:tcPr>
            <w:tcW w:w="1728" w:type="dxa"/>
            <w:shd w:val="clear" w:fill="FFFFFF"/>
            <w:vAlign w:val="center"/>
          </w:tcPr>
          <w:p>
            <w:pPr>
              <w:pStyle w:val="TableBody"/>
              <w:spacing w:before="0" w:after="0" w:line="23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7D214E"/>
                <w:sz w:val="17"/>
                <w:szCs w:val="17"/>
              </w:rPr>
              <w:t xml:space="preserve">First Login</w:t>
            </w:r>
          </w:p>
        </w:tc>
        <w:tc>
          <w:tcPr>
            <w:tcW w:w="4464" w:type="dxa"/>
            <w:shd w:val="clear" w:fill="FFFFFF"/>
            <w:vAlign w:val="center"/>
          </w:tcPr>
          <w:p>
            <w:pPr>
              <w:pStyle w:val="TableBody"/>
              <w:keepNext/>
              <w:spacing w:before="0" w:after="25" w:line="230" w:lineRule="auto"/>
            </w:pPr>
            <w:r>
              <w:rPr>
                <w:rFonts w:ascii="Calibri" w:hAnsi="Calibri" w:eastAsia="Calibri" w:cs="Calibri"/>
                <w:b/>
                <w:bCs/>
                <w:color w:val="382A31"/>
                <w:sz w:val="17"/>
                <w:szCs w:val="17"/>
              </w:rPr>
              <w:t xml:space="preserve">Forced temporary-password change</w:t>
            </w:r>
          </w:p>
          <w:p>
            <w:pPr>
              <w:pStyle w:val="TableBody"/>
              <w:spacing w:before="0" w:after="0" w:line="230" w:lineRule="auto"/>
            </w:pPr>
            <w:r>
              <w:rPr>
                <w:rFonts w:ascii="Calibri" w:hAnsi="Calibri" w:eastAsia="Calibri" w:cs="Calibri"/>
                <w:color w:val="382A31"/>
                <w:sz w:val="16"/>
                <w:szCs w:val="16"/>
              </w:rPr>
              <w:t xml:space="preserve">1. Sign in with a temporary password. 2. Try incomplete, weak, mismatched, same-as-current, and wrong-current values. 3. Submit a valid replacement.</w:t>
            </w:r>
          </w:p>
        </w:tc>
        <w:tc>
          <w:tcPr>
            <w:tcW w:w="4320" w:type="dxa"/>
            <w:shd w:val="clear" w:fill="FFFFFF"/>
            <w:vAlign w:val="center"/>
          </w:tcPr>
          <w:p>
            <w:pPr>
              <w:pStyle w:val="TableBody"/>
              <w:spacing w:before="0" w:after="0" w:line="230" w:lineRule="auto"/>
              <w:jc w:val="left"/>
            </w:pPr>
            <w:r>
              <w:rPr>
                <w:rFonts w:ascii="Calibri" w:hAnsi="Calibri" w:eastAsia="Calibri" w:cs="Calibri"/>
                <w:color w:val="382A31"/>
                <w:sz w:val="17"/>
                <w:szCs w:val="17"/>
              </w:rPr>
              <w:t xml:space="preserve">User is routed to Change Password. Invalid combinations are blocked with clear messages. A valid 8+ character password containing upper/lowercase and a number is saved, the temporary flag clears, audit is recorded, and Dashboard opens.</w:t>
            </w:r>
          </w:p>
        </w:tc>
        <w:tc>
          <w:tcPr>
            <w:tcW w:w="1080" w:type="dxa"/>
            <w:shd w:val="clear" w:fill="FFFFFF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D214E"/>
                <w:sz w:val="17"/>
                <w:szCs w:val="17"/>
              </w:rPr>
              <w:t xml:space="preserve">P0</w:t>
            </w:r>
          </w:p>
        </w:tc>
        <w:tc>
          <w:tcPr>
            <w:tcW w:w="1152" w:type="dxa"/>
            <w:shd w:val="clear" w:fill="FFFFFF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color w:val="382A31"/>
                <w:sz w:val="17"/>
                <w:szCs w:val="17"/>
              </w:rPr>
              <w:t xml:space="preserve">Not Started</w:t>
            </w:r>
          </w:p>
        </w:tc>
        <w:tc>
          <w:tcPr>
            <w:tcW w:w="1080" w:type="dxa"/>
            <w:shd w:val="clear" w:fill="FFFFFF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color w:val="382A31"/>
                <w:sz w:val="17"/>
                <w:szCs w:val="17"/>
              </w:rPr>
              <w:t xml:space="preserve">-</w:t>
            </w:r>
          </w:p>
        </w:tc>
      </w:tr>
      <w:tr>
        <w:trPr>
          <w:cantSplit/>
        </w:trPr>
        <w:tc>
          <w:tcPr>
            <w:tcW w:w="1008" w:type="dxa"/>
            <w:shd w:val="clear" w:fill="FFF7FA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D214E"/>
                <w:sz w:val="17"/>
                <w:szCs w:val="17"/>
              </w:rPr>
              <w:t xml:space="preserve">AW-TC-006</w:t>
            </w:r>
          </w:p>
        </w:tc>
        <w:tc>
          <w:tcPr>
            <w:tcW w:w="1728" w:type="dxa"/>
            <w:shd w:val="clear" w:fill="FFF7FA"/>
            <w:vAlign w:val="center"/>
          </w:tcPr>
          <w:p>
            <w:pPr>
              <w:pStyle w:val="TableBody"/>
              <w:spacing w:before="0" w:after="0" w:line="23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7D214E"/>
                <w:sz w:val="17"/>
                <w:szCs w:val="17"/>
              </w:rPr>
              <w:t xml:space="preserve">Session Security</w:t>
            </w:r>
          </w:p>
        </w:tc>
        <w:tc>
          <w:tcPr>
            <w:tcW w:w="4464" w:type="dxa"/>
            <w:shd w:val="clear" w:fill="FFF7FA"/>
            <w:vAlign w:val="center"/>
          </w:tcPr>
          <w:p>
            <w:pPr>
              <w:pStyle w:val="TableBody"/>
              <w:keepNext/>
              <w:spacing w:before="0" w:after="25" w:line="230" w:lineRule="auto"/>
            </w:pPr>
            <w:r>
              <w:rPr>
                <w:rFonts w:ascii="Calibri" w:hAnsi="Calibri" w:eastAsia="Calibri" w:cs="Calibri"/>
                <w:b/>
                <w:bCs/>
                <w:color w:val="382A31"/>
                <w:sz w:val="17"/>
                <w:szCs w:val="17"/>
              </w:rPr>
              <w:t xml:space="preserve">Protected route, stale session, and inactivity</w:t>
            </w:r>
          </w:p>
          <w:p>
            <w:pPr>
              <w:pStyle w:val="TableBody"/>
              <w:spacing w:before="0" w:after="0" w:line="230" w:lineRule="auto"/>
            </w:pPr>
            <w:r>
              <w:rPr>
                <w:rFonts w:ascii="Calibri" w:hAnsi="Calibri" w:eastAsia="Calibri" w:cs="Calibri"/>
                <w:color w:val="382A31"/>
                <w:sz w:val="16"/>
                <w:szCs w:val="16"/>
              </w:rPr>
              <w:t xml:space="preserve">1. Open a protected page with no session. 2. Repeat with a session older than 12 hours. 3. Stay inactive for 15 minutes on an authenticated page.</w:t>
            </w:r>
          </w:p>
        </w:tc>
        <w:tc>
          <w:tcPr>
            <w:tcW w:w="4320" w:type="dxa"/>
            <w:shd w:val="clear" w:fill="FFF7FA"/>
            <w:vAlign w:val="center"/>
          </w:tcPr>
          <w:p>
            <w:pPr>
              <w:pStyle w:val="TableBody"/>
              <w:spacing w:before="0" w:after="0" w:line="230" w:lineRule="auto"/>
              <w:jc w:val="left"/>
            </w:pPr>
            <w:r>
              <w:rPr>
                <w:rFonts w:ascii="Calibri" w:hAnsi="Calibri" w:eastAsia="Calibri" w:cs="Calibri"/>
                <w:color w:val="382A31"/>
                <w:sz w:val="17"/>
                <w:szCs w:val="17"/>
              </w:rPr>
              <w:t xml:space="preserve">Unauthorized and stale sessions are cleared and redirected to Login. An inactive session times out, informs the user, clears stored authentication data, and blocks browser-back access to protected content.</w:t>
            </w:r>
          </w:p>
        </w:tc>
        <w:tc>
          <w:tcPr>
            <w:tcW w:w="1080" w:type="dxa"/>
            <w:shd w:val="clear" w:fill="FFF7FA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D214E"/>
                <w:sz w:val="17"/>
                <w:szCs w:val="17"/>
              </w:rPr>
              <w:t xml:space="preserve">P0</w:t>
            </w:r>
          </w:p>
        </w:tc>
        <w:tc>
          <w:tcPr>
            <w:tcW w:w="1152" w:type="dxa"/>
            <w:shd w:val="clear" w:fill="FFF7FA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color w:val="382A31"/>
                <w:sz w:val="17"/>
                <w:szCs w:val="17"/>
              </w:rPr>
              <w:t xml:space="preserve">Not Started</w:t>
            </w:r>
          </w:p>
        </w:tc>
        <w:tc>
          <w:tcPr>
            <w:tcW w:w="1080" w:type="dxa"/>
            <w:shd w:val="clear" w:fill="FFF7FA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color w:val="382A31"/>
                <w:sz w:val="17"/>
                <w:szCs w:val="17"/>
              </w:rPr>
              <w:t xml:space="preserve">-</w:t>
            </w:r>
          </w:p>
        </w:tc>
      </w:tr>
      <w:tr>
        <w:trPr>
          <w:cantSplit/>
        </w:trPr>
        <w:tc>
          <w:tcPr>
            <w:tcW w:w="1008" w:type="dxa"/>
            <w:shd w:val="clear" w:fill="FFFFFF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D214E"/>
                <w:sz w:val="17"/>
                <w:szCs w:val="17"/>
              </w:rPr>
              <w:t xml:space="preserve">AW-TC-007</w:t>
            </w:r>
          </w:p>
        </w:tc>
        <w:tc>
          <w:tcPr>
            <w:tcW w:w="1728" w:type="dxa"/>
            <w:shd w:val="clear" w:fill="FFFFFF"/>
            <w:vAlign w:val="center"/>
          </w:tcPr>
          <w:p>
            <w:pPr>
              <w:pStyle w:val="TableBody"/>
              <w:spacing w:before="0" w:after="0" w:line="23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7D214E"/>
                <w:sz w:val="17"/>
                <w:szCs w:val="17"/>
              </w:rPr>
              <w:t xml:space="preserve">Dashboard</w:t>
            </w:r>
          </w:p>
        </w:tc>
        <w:tc>
          <w:tcPr>
            <w:tcW w:w="4464" w:type="dxa"/>
            <w:shd w:val="clear" w:fill="FFFFFF"/>
            <w:vAlign w:val="center"/>
          </w:tcPr>
          <w:p>
            <w:pPr>
              <w:pStyle w:val="TableBody"/>
              <w:keepNext/>
              <w:spacing w:before="0" w:after="25" w:line="230" w:lineRule="auto"/>
            </w:pPr>
            <w:r>
              <w:rPr>
                <w:rFonts w:ascii="Calibri" w:hAnsi="Calibri" w:eastAsia="Calibri" w:cs="Calibri"/>
                <w:b/>
                <w:bCs/>
                <w:color w:val="382A31"/>
                <w:sz w:val="17"/>
                <w:szCs w:val="17"/>
              </w:rPr>
              <w:t xml:space="preserve">Scoped operational overview and export</w:t>
            </w:r>
          </w:p>
          <w:p>
            <w:pPr>
              <w:pStyle w:val="TableBody"/>
              <w:spacing w:before="0" w:after="0" w:line="230" w:lineRule="auto"/>
            </w:pPr>
            <w:r>
              <w:rPr>
                <w:rFonts w:ascii="Calibri" w:hAnsi="Calibri" w:eastAsia="Calibri" w:cs="Calibri"/>
                <w:color w:val="382A31"/>
                <w:sz w:val="16"/>
                <w:szCs w:val="16"/>
              </w:rPr>
              <w:t xml:space="preserve">1. Open Dashboard with seeded data. 2. Compare KPI cards, charts, recent activity, and quick links to source records. 3. Export the PDF summary.</w:t>
            </w:r>
          </w:p>
        </w:tc>
        <w:tc>
          <w:tcPr>
            <w:tcW w:w="4320" w:type="dxa"/>
            <w:shd w:val="clear" w:fill="FFFFFF"/>
            <w:vAlign w:val="center"/>
          </w:tcPr>
          <w:p>
            <w:pPr>
              <w:pStyle w:val="TableBody"/>
              <w:spacing w:before="0" w:after="0" w:line="230" w:lineRule="auto"/>
              <w:jc w:val="left"/>
            </w:pPr>
            <w:r>
              <w:rPr>
                <w:rFonts w:ascii="Calibri" w:hAnsi="Calibri" w:eastAsia="Calibri" w:cs="Calibri"/>
                <w:color w:val="382A31"/>
                <w:sz w:val="17"/>
                <w:szCs w:val="17"/>
              </w:rPr>
              <w:t xml:space="preserve">Metrics and charts match records inside the signed-in office scope; navigation opens the correct modules; loading/empty states remain usable; the PDF downloads with current, readable scoped totals.</w:t>
            </w:r>
          </w:p>
        </w:tc>
        <w:tc>
          <w:tcPr>
            <w:tcW w:w="1080" w:type="dxa"/>
            <w:shd w:val="clear" w:fill="FFFFFF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D214E"/>
                <w:sz w:val="17"/>
                <w:szCs w:val="17"/>
              </w:rPr>
              <w:t xml:space="preserve">P1</w:t>
            </w:r>
          </w:p>
        </w:tc>
        <w:tc>
          <w:tcPr>
            <w:tcW w:w="1152" w:type="dxa"/>
            <w:shd w:val="clear" w:fill="FFFFFF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color w:val="382A31"/>
                <w:sz w:val="17"/>
                <w:szCs w:val="17"/>
              </w:rPr>
              <w:t xml:space="preserve">Not Started</w:t>
            </w:r>
          </w:p>
        </w:tc>
        <w:tc>
          <w:tcPr>
            <w:tcW w:w="1080" w:type="dxa"/>
            <w:shd w:val="clear" w:fill="FFFFFF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color w:val="382A31"/>
                <w:sz w:val="17"/>
                <w:szCs w:val="17"/>
              </w:rPr>
              <w:t xml:space="preserve">-</w:t>
            </w:r>
          </w:p>
        </w:tc>
      </w:tr>
      <w:tr>
        <w:trPr>
          <w:cantSplit/>
        </w:trPr>
        <w:tc>
          <w:tcPr>
            <w:tcW w:w="1008" w:type="dxa"/>
            <w:shd w:val="clear" w:fill="FFF7FA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D214E"/>
                <w:sz w:val="17"/>
                <w:szCs w:val="17"/>
              </w:rPr>
              <w:t xml:space="preserve">AW-TC-008</w:t>
            </w:r>
          </w:p>
        </w:tc>
        <w:tc>
          <w:tcPr>
            <w:tcW w:w="1728" w:type="dxa"/>
            <w:shd w:val="clear" w:fill="FFF7FA"/>
            <w:vAlign w:val="center"/>
          </w:tcPr>
          <w:p>
            <w:pPr>
              <w:pStyle w:val="TableBody"/>
              <w:spacing w:before="0" w:after="0" w:line="23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7D214E"/>
                <w:sz w:val="17"/>
                <w:szCs w:val="17"/>
              </w:rPr>
              <w:t xml:space="preserve">Account Creation</w:t>
            </w:r>
          </w:p>
        </w:tc>
        <w:tc>
          <w:tcPr>
            <w:tcW w:w="4464" w:type="dxa"/>
            <w:shd w:val="clear" w:fill="FFF7FA"/>
            <w:vAlign w:val="center"/>
          </w:tcPr>
          <w:p>
            <w:pPr>
              <w:pStyle w:val="TableBody"/>
              <w:keepNext/>
              <w:spacing w:before="0" w:after="25" w:line="230" w:lineRule="auto"/>
            </w:pPr>
            <w:r>
              <w:rPr>
                <w:rFonts w:ascii="Calibri" w:hAnsi="Calibri" w:eastAsia="Calibri" w:cs="Calibri"/>
                <w:b/>
                <w:bCs/>
                <w:color w:val="382A31"/>
                <w:sz w:val="17"/>
                <w:szCs w:val="17"/>
              </w:rPr>
              <w:t xml:space="preserve">Create a valid in-scope account</w:t>
            </w:r>
          </w:p>
          <w:p>
            <w:pPr>
              <w:pStyle w:val="TableBody"/>
              <w:spacing w:before="0" w:after="0" w:line="230" w:lineRule="auto"/>
            </w:pPr>
            <w:r>
              <w:rPr>
                <w:rFonts w:ascii="Calibri" w:hAnsi="Calibri" w:eastAsia="Calibri" w:cs="Calibri"/>
                <w:color w:val="382A31"/>
                <w:sz w:val="16"/>
                <w:szCs w:val="16"/>
              </w:rPr>
              <w:t xml:space="preserve">1. Open Account Management and Add Account. 2. Complete required identity, role, contact, and facility fields. 3. Save once.</w:t>
            </w:r>
          </w:p>
        </w:tc>
        <w:tc>
          <w:tcPr>
            <w:tcW w:w="4320" w:type="dxa"/>
            <w:shd w:val="clear" w:fill="FFF7FA"/>
            <w:vAlign w:val="center"/>
          </w:tcPr>
          <w:p>
            <w:pPr>
              <w:pStyle w:val="TableBody"/>
              <w:spacing w:before="0" w:after="0" w:line="230" w:lineRule="auto"/>
              <w:jc w:val="left"/>
            </w:pPr>
            <w:r>
              <w:rPr>
                <w:rFonts w:ascii="Calibri" w:hAnsi="Calibri" w:eastAsia="Calibri" w:cs="Calibri"/>
                <w:color w:val="382A31"/>
                <w:sz w:val="17"/>
                <w:szCs w:val="17"/>
              </w:rPr>
              <w:t xml:space="preserve">Exactly one account is created in the permitted office/facility scope, appears in the account list, receives the intended initial/temporary-password state, and produces an audit entry.</w:t>
            </w:r>
          </w:p>
        </w:tc>
        <w:tc>
          <w:tcPr>
            <w:tcW w:w="1080" w:type="dxa"/>
            <w:shd w:val="clear" w:fill="FFF7FA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D214E"/>
                <w:sz w:val="17"/>
                <w:szCs w:val="17"/>
              </w:rPr>
              <w:t xml:space="preserve">P1</w:t>
            </w:r>
          </w:p>
        </w:tc>
        <w:tc>
          <w:tcPr>
            <w:tcW w:w="1152" w:type="dxa"/>
            <w:shd w:val="clear" w:fill="FFF7FA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color w:val="382A31"/>
                <w:sz w:val="17"/>
                <w:szCs w:val="17"/>
              </w:rPr>
              <w:t xml:space="preserve">Not Started</w:t>
            </w:r>
          </w:p>
        </w:tc>
        <w:tc>
          <w:tcPr>
            <w:tcW w:w="1080" w:type="dxa"/>
            <w:shd w:val="clear" w:fill="FFF7FA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color w:val="382A31"/>
                <w:sz w:val="17"/>
                <w:szCs w:val="17"/>
              </w:rPr>
              <w:t xml:space="preserve">-</w:t>
            </w:r>
          </w:p>
        </w:tc>
      </w:tr>
      <w:tr>
        <w:trPr>
          <w:cantSplit/>
        </w:trPr>
        <w:tc>
          <w:tcPr>
            <w:tcW w:w="1008" w:type="dxa"/>
            <w:shd w:val="clear" w:fill="FFFFFF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D214E"/>
                <w:sz w:val="17"/>
                <w:szCs w:val="17"/>
              </w:rPr>
              <w:t xml:space="preserve">AW-TC-009</w:t>
            </w:r>
          </w:p>
        </w:tc>
        <w:tc>
          <w:tcPr>
            <w:tcW w:w="1728" w:type="dxa"/>
            <w:shd w:val="clear" w:fill="FFFFFF"/>
            <w:vAlign w:val="center"/>
          </w:tcPr>
          <w:p>
            <w:pPr>
              <w:pStyle w:val="TableBody"/>
              <w:spacing w:before="0" w:after="0" w:line="23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7D214E"/>
                <w:sz w:val="17"/>
                <w:szCs w:val="17"/>
              </w:rPr>
              <w:t xml:space="preserve">Account Validation</w:t>
            </w:r>
          </w:p>
        </w:tc>
        <w:tc>
          <w:tcPr>
            <w:tcW w:w="4464" w:type="dxa"/>
            <w:shd w:val="clear" w:fill="FFFFFF"/>
            <w:vAlign w:val="center"/>
          </w:tcPr>
          <w:p>
            <w:pPr>
              <w:pStyle w:val="TableBody"/>
              <w:keepNext/>
              <w:spacing w:before="0" w:after="25" w:line="230" w:lineRule="auto"/>
            </w:pPr>
            <w:r>
              <w:rPr>
                <w:rFonts w:ascii="Calibri" w:hAnsi="Calibri" w:eastAsia="Calibri" w:cs="Calibri"/>
                <w:b/>
                <w:bCs/>
                <w:color w:val="382A31"/>
                <w:sz w:val="17"/>
                <w:szCs w:val="17"/>
              </w:rPr>
              <w:t xml:space="preserve">Block missing, malformed, duplicate, or out-of-scope data</w:t>
            </w:r>
          </w:p>
          <w:p>
            <w:pPr>
              <w:pStyle w:val="TableBody"/>
              <w:spacing w:before="0" w:after="0" w:line="230" w:lineRule="auto"/>
            </w:pPr>
            <w:r>
              <w:rPr>
                <w:rFonts w:ascii="Calibri" w:hAnsi="Calibri" w:eastAsia="Calibri" w:cs="Calibri"/>
                <w:color w:val="382A31"/>
                <w:sz w:val="16"/>
                <w:szCs w:val="16"/>
              </w:rPr>
              <w:t xml:space="preserve">Submit the account form with missing required fields, invalid contact/email values, a duplicate identifier, and a facility outside the current portal scope.</w:t>
            </w:r>
          </w:p>
        </w:tc>
        <w:tc>
          <w:tcPr>
            <w:tcW w:w="4320" w:type="dxa"/>
            <w:shd w:val="clear" w:fill="FFFFFF"/>
            <w:vAlign w:val="center"/>
          </w:tcPr>
          <w:p>
            <w:pPr>
              <w:pStyle w:val="TableBody"/>
              <w:spacing w:before="0" w:after="0" w:line="230" w:lineRule="auto"/>
              <w:jc w:val="left"/>
            </w:pPr>
            <w:r>
              <w:rPr>
                <w:rFonts w:ascii="Calibri" w:hAnsi="Calibri" w:eastAsia="Calibri" w:cs="Calibri"/>
                <w:color w:val="382A31"/>
                <w:sz w:val="17"/>
                <w:szCs w:val="17"/>
              </w:rPr>
              <w:t xml:space="preserve">Submission is blocked with specific validation/conflict feedback; no partial or duplicate account is saved; out-of-scope facilities cannot be selected or persisted.</w:t>
            </w:r>
          </w:p>
        </w:tc>
        <w:tc>
          <w:tcPr>
            <w:tcW w:w="1080" w:type="dxa"/>
            <w:shd w:val="clear" w:fill="FFFFFF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D214E"/>
                <w:sz w:val="17"/>
                <w:szCs w:val="17"/>
              </w:rPr>
              <w:t xml:space="preserve">P1</w:t>
            </w:r>
          </w:p>
        </w:tc>
        <w:tc>
          <w:tcPr>
            <w:tcW w:w="1152" w:type="dxa"/>
            <w:shd w:val="clear" w:fill="FFFFFF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color w:val="382A31"/>
                <w:sz w:val="17"/>
                <w:szCs w:val="17"/>
              </w:rPr>
              <w:t xml:space="preserve">Not Started</w:t>
            </w:r>
          </w:p>
        </w:tc>
        <w:tc>
          <w:tcPr>
            <w:tcW w:w="1080" w:type="dxa"/>
            <w:shd w:val="clear" w:fill="FFFFFF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color w:val="382A31"/>
                <w:sz w:val="17"/>
                <w:szCs w:val="17"/>
              </w:rPr>
              <w:t xml:space="preserve">-</w:t>
            </w:r>
          </w:p>
        </w:tc>
      </w:tr>
      <w:tr>
        <w:trPr>
          <w:cantSplit/>
        </w:trPr>
        <w:tc>
          <w:tcPr>
            <w:tcW w:w="1008" w:type="dxa"/>
            <w:shd w:val="clear" w:fill="FFF7FA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D214E"/>
                <w:sz w:val="17"/>
                <w:szCs w:val="17"/>
              </w:rPr>
              <w:t xml:space="preserve">AW-TC-010</w:t>
            </w:r>
          </w:p>
        </w:tc>
        <w:tc>
          <w:tcPr>
            <w:tcW w:w="1728" w:type="dxa"/>
            <w:shd w:val="clear" w:fill="FFF7FA"/>
            <w:vAlign w:val="center"/>
          </w:tcPr>
          <w:p>
            <w:pPr>
              <w:pStyle w:val="TableBody"/>
              <w:spacing w:before="0" w:after="0" w:line="23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7D214E"/>
                <w:sz w:val="17"/>
                <w:szCs w:val="17"/>
              </w:rPr>
              <w:t xml:space="preserve">Account Lifecycle</w:t>
            </w:r>
          </w:p>
        </w:tc>
        <w:tc>
          <w:tcPr>
            <w:tcW w:w="4464" w:type="dxa"/>
            <w:shd w:val="clear" w:fill="FFF7FA"/>
            <w:vAlign w:val="center"/>
          </w:tcPr>
          <w:p>
            <w:pPr>
              <w:pStyle w:val="TableBody"/>
              <w:keepNext/>
              <w:spacing w:before="0" w:after="25" w:line="230" w:lineRule="auto"/>
            </w:pPr>
            <w:r>
              <w:rPr>
                <w:rFonts w:ascii="Calibri" w:hAnsi="Calibri" w:eastAsia="Calibri" w:cs="Calibri"/>
                <w:b/>
                <w:bCs/>
                <w:color w:val="382A31"/>
                <w:sz w:val="17"/>
                <w:szCs w:val="17"/>
              </w:rPr>
              <w:t xml:space="preserve">Search, suspend, reactivate, and verify access</w:t>
            </w:r>
          </w:p>
          <w:p>
            <w:pPr>
              <w:pStyle w:val="TableBody"/>
              <w:spacing w:before="0" w:after="0" w:line="230" w:lineRule="auto"/>
            </w:pPr>
            <w:r>
              <w:rPr>
                <w:rFonts w:ascii="Calibri" w:hAnsi="Calibri" w:eastAsia="Calibri" w:cs="Calibri"/>
                <w:color w:val="382A31"/>
                <w:sz w:val="16"/>
                <w:szCs w:val="16"/>
              </w:rPr>
              <w:t xml:space="preserve">1. Search/filter a known account. 2. Suspend it and test login. 3. Reactivate it and test login again. 4. Review the audit trail.</w:t>
            </w:r>
          </w:p>
        </w:tc>
        <w:tc>
          <w:tcPr>
            <w:tcW w:w="4320" w:type="dxa"/>
            <w:shd w:val="clear" w:fill="FFF7FA"/>
            <w:vAlign w:val="center"/>
          </w:tcPr>
          <w:p>
            <w:pPr>
              <w:pStyle w:val="TableBody"/>
              <w:spacing w:before="0" w:after="0" w:line="230" w:lineRule="auto"/>
              <w:jc w:val="left"/>
            </w:pPr>
            <w:r>
              <w:rPr>
                <w:rFonts w:ascii="Calibri" w:hAnsi="Calibri" w:eastAsia="Calibri" w:cs="Calibri"/>
                <w:color w:val="382A31"/>
                <w:sz w:val="17"/>
                <w:szCs w:val="17"/>
              </w:rPr>
              <w:t xml:space="preserve">Search/filter returns the correct row; suspended access is denied; reactivation restores eligible access; status badges update without duplicate rows and each administrative action is auditable.</w:t>
            </w:r>
          </w:p>
        </w:tc>
        <w:tc>
          <w:tcPr>
            <w:tcW w:w="1080" w:type="dxa"/>
            <w:shd w:val="clear" w:fill="FFF7FA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D214E"/>
                <w:sz w:val="17"/>
                <w:szCs w:val="17"/>
              </w:rPr>
              <w:t xml:space="preserve">P1</w:t>
            </w:r>
          </w:p>
        </w:tc>
        <w:tc>
          <w:tcPr>
            <w:tcW w:w="1152" w:type="dxa"/>
            <w:shd w:val="clear" w:fill="FFF7FA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color w:val="382A31"/>
                <w:sz w:val="17"/>
                <w:szCs w:val="17"/>
              </w:rPr>
              <w:t xml:space="preserve">Not Started</w:t>
            </w:r>
          </w:p>
        </w:tc>
        <w:tc>
          <w:tcPr>
            <w:tcW w:w="1080" w:type="dxa"/>
            <w:shd w:val="clear" w:fill="FFF7FA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color w:val="382A31"/>
                <w:sz w:val="17"/>
                <w:szCs w:val="17"/>
              </w:rPr>
              <w:t xml:space="preserve">-</w:t>
            </w:r>
          </w:p>
        </w:tc>
      </w:tr>
      <w:tr>
        <w:trPr>
          <w:cantSplit/>
        </w:trPr>
        <w:tc>
          <w:tcPr>
            <w:tcW w:w="1008" w:type="dxa"/>
            <w:shd w:val="clear" w:fill="FFFFFF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D214E"/>
                <w:sz w:val="17"/>
                <w:szCs w:val="17"/>
              </w:rPr>
              <w:t xml:space="preserve">AW-TC-011</w:t>
            </w:r>
          </w:p>
        </w:tc>
        <w:tc>
          <w:tcPr>
            <w:tcW w:w="1728" w:type="dxa"/>
            <w:shd w:val="clear" w:fill="FFFFFF"/>
            <w:vAlign w:val="center"/>
          </w:tcPr>
          <w:p>
            <w:pPr>
              <w:pStyle w:val="TableBody"/>
              <w:spacing w:before="0" w:after="0" w:line="23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7D214E"/>
                <w:sz w:val="17"/>
                <w:szCs w:val="17"/>
              </w:rPr>
              <w:t xml:space="preserve">Facilities &amp; Assignment</w:t>
            </w:r>
          </w:p>
        </w:tc>
        <w:tc>
          <w:tcPr>
            <w:tcW w:w="4464" w:type="dxa"/>
            <w:shd w:val="clear" w:fill="FFFFFF"/>
            <w:vAlign w:val="center"/>
          </w:tcPr>
          <w:p>
            <w:pPr>
              <w:pStyle w:val="TableBody"/>
              <w:keepNext/>
              <w:spacing w:before="0" w:after="25" w:line="230" w:lineRule="auto"/>
            </w:pPr>
            <w:r>
              <w:rPr>
                <w:rFonts w:ascii="Calibri" w:hAnsi="Calibri" w:eastAsia="Calibri" w:cs="Calibri"/>
                <w:b/>
                <w:bCs/>
                <w:color w:val="382A31"/>
                <w:sz w:val="17"/>
                <w:szCs w:val="17"/>
              </w:rPr>
              <w:t xml:space="preserve">Assign a midwife within the office hierarchy</w:t>
            </w:r>
          </w:p>
          <w:p>
            <w:pPr>
              <w:pStyle w:val="TableBody"/>
              <w:spacing w:before="0" w:after="0" w:line="230" w:lineRule="auto"/>
            </w:pPr>
            <w:r>
              <w:rPr>
                <w:rFonts w:ascii="Calibri" w:hAnsi="Calibri" w:eastAsia="Calibri" w:cs="Calibri"/>
                <w:color w:val="382A31"/>
                <w:sz w:val="16"/>
                <w:szCs w:val="16"/>
              </w:rPr>
              <w:t xml:space="preserve">1. Open Midwife Assignment. 2. Select an eligible midwife and an in-scope facility. 3. Save/reassign. 4. Check the facility and account views.</w:t>
            </w:r>
          </w:p>
        </w:tc>
        <w:tc>
          <w:tcPr>
            <w:tcW w:w="4320" w:type="dxa"/>
            <w:shd w:val="clear" w:fill="FFFFFF"/>
            <w:vAlign w:val="center"/>
          </w:tcPr>
          <w:p>
            <w:pPr>
              <w:pStyle w:val="TableBody"/>
              <w:spacing w:before="0" w:after="0" w:line="230" w:lineRule="auto"/>
              <w:jc w:val="left"/>
            </w:pPr>
            <w:r>
              <w:rPr>
                <w:rFonts w:ascii="Calibri" w:hAnsi="Calibri" w:eastAsia="Calibri" w:cs="Calibri"/>
                <w:color w:val="382A31"/>
                <w:sz w:val="17"/>
                <w:szCs w:val="17"/>
              </w:rPr>
              <w:t xml:space="preserve">Only authorized facilities are offered; assignment persists and appears consistently in related views; invalid/out-of-scope assignment is blocked; the change is logged with the responsible administrator.</w:t>
            </w:r>
          </w:p>
        </w:tc>
        <w:tc>
          <w:tcPr>
            <w:tcW w:w="1080" w:type="dxa"/>
            <w:shd w:val="clear" w:fill="FFFFFF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D214E"/>
                <w:sz w:val="17"/>
                <w:szCs w:val="17"/>
              </w:rPr>
              <w:t xml:space="preserve">P1</w:t>
            </w:r>
          </w:p>
        </w:tc>
        <w:tc>
          <w:tcPr>
            <w:tcW w:w="1152" w:type="dxa"/>
            <w:shd w:val="clear" w:fill="FFFFFF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color w:val="382A31"/>
                <w:sz w:val="17"/>
                <w:szCs w:val="17"/>
              </w:rPr>
              <w:t xml:space="preserve">Not Started</w:t>
            </w:r>
          </w:p>
        </w:tc>
        <w:tc>
          <w:tcPr>
            <w:tcW w:w="1080" w:type="dxa"/>
            <w:shd w:val="clear" w:fill="FFFFFF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color w:val="382A31"/>
                <w:sz w:val="17"/>
                <w:szCs w:val="17"/>
              </w:rPr>
              <w:t xml:space="preserve">-</w:t>
            </w:r>
          </w:p>
        </w:tc>
      </w:tr>
      <w:tr>
        <w:trPr>
          <w:cantSplit/>
        </w:trPr>
        <w:tc>
          <w:tcPr>
            <w:tcW w:w="1008" w:type="dxa"/>
            <w:shd w:val="clear" w:fill="FFF7FA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D214E"/>
                <w:sz w:val="17"/>
                <w:szCs w:val="17"/>
              </w:rPr>
              <w:t xml:space="preserve">AW-TC-012</w:t>
            </w:r>
          </w:p>
        </w:tc>
        <w:tc>
          <w:tcPr>
            <w:tcW w:w="1728" w:type="dxa"/>
            <w:shd w:val="clear" w:fill="FFF7FA"/>
            <w:vAlign w:val="center"/>
          </w:tcPr>
          <w:p>
            <w:pPr>
              <w:pStyle w:val="TableBody"/>
              <w:spacing w:before="0" w:after="0" w:line="23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7D214E"/>
                <w:sz w:val="17"/>
                <w:szCs w:val="17"/>
              </w:rPr>
              <w:t xml:space="preserve">Patient Records</w:t>
            </w:r>
          </w:p>
        </w:tc>
        <w:tc>
          <w:tcPr>
            <w:tcW w:w="4464" w:type="dxa"/>
            <w:shd w:val="clear" w:fill="FFF7FA"/>
            <w:vAlign w:val="center"/>
          </w:tcPr>
          <w:p>
            <w:pPr>
              <w:pStyle w:val="TableBody"/>
              <w:keepNext/>
              <w:spacing w:before="0" w:after="25" w:line="230" w:lineRule="auto"/>
            </w:pPr>
            <w:r>
              <w:rPr>
                <w:rFonts w:ascii="Calibri" w:hAnsi="Calibri" w:eastAsia="Calibri" w:cs="Calibri"/>
                <w:b/>
                <w:bCs/>
                <w:color w:val="382A31"/>
                <w:sz w:val="17"/>
                <w:szCs w:val="17"/>
              </w:rPr>
              <w:t xml:space="preserve">Search and open an authorized patient record</w:t>
            </w:r>
          </w:p>
          <w:p>
            <w:pPr>
              <w:pStyle w:val="TableBody"/>
              <w:spacing w:before="0" w:after="0" w:line="230" w:lineRule="auto"/>
            </w:pPr>
            <w:r>
              <w:rPr>
                <w:rFonts w:ascii="Calibri" w:hAnsi="Calibri" w:eastAsia="Calibri" w:cs="Calibri"/>
                <w:color w:val="382A31"/>
                <w:sz w:val="16"/>
                <w:szCs w:val="16"/>
              </w:rPr>
              <w:t xml:space="preserve">1. Search by known name/identifier. 2. Apply facility/status filters. 3. Open mother/child details. 4. Attempt to locate an out-of-scope patient.</w:t>
            </w:r>
          </w:p>
        </w:tc>
        <w:tc>
          <w:tcPr>
            <w:tcW w:w="4320" w:type="dxa"/>
            <w:shd w:val="clear" w:fill="FFF7FA"/>
            <w:vAlign w:val="center"/>
          </w:tcPr>
          <w:p>
            <w:pPr>
              <w:pStyle w:val="TableBody"/>
              <w:spacing w:before="0" w:after="0" w:line="230" w:lineRule="auto"/>
              <w:jc w:val="left"/>
            </w:pPr>
            <w:r>
              <w:rPr>
                <w:rFonts w:ascii="Calibri" w:hAnsi="Calibri" w:eastAsia="Calibri" w:cs="Calibri"/>
                <w:color w:val="382A31"/>
                <w:sz w:val="17"/>
                <w:szCs w:val="17"/>
              </w:rPr>
              <w:t xml:space="preserve">Matching in-scope records appear with the correct patient number and clinical summary; filters are accurate; details open without exposing hidden fields; records outside the portal scope are not returned or accessible.</w:t>
            </w:r>
          </w:p>
        </w:tc>
        <w:tc>
          <w:tcPr>
            <w:tcW w:w="1080" w:type="dxa"/>
            <w:shd w:val="clear" w:fill="FFF7FA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D214E"/>
                <w:sz w:val="17"/>
                <w:szCs w:val="17"/>
              </w:rPr>
              <w:t xml:space="preserve">P0</w:t>
            </w:r>
          </w:p>
        </w:tc>
        <w:tc>
          <w:tcPr>
            <w:tcW w:w="1152" w:type="dxa"/>
            <w:shd w:val="clear" w:fill="FFF7FA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color w:val="382A31"/>
                <w:sz w:val="17"/>
                <w:szCs w:val="17"/>
              </w:rPr>
              <w:t xml:space="preserve">Not Started</w:t>
            </w:r>
          </w:p>
        </w:tc>
        <w:tc>
          <w:tcPr>
            <w:tcW w:w="1080" w:type="dxa"/>
            <w:shd w:val="clear" w:fill="FFF7FA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color w:val="382A31"/>
                <w:sz w:val="17"/>
                <w:szCs w:val="17"/>
              </w:rPr>
              <w:t xml:space="preserve">-</w:t>
            </w:r>
          </w:p>
        </w:tc>
      </w:tr>
      <w:tr>
        <w:trPr>
          <w:cantSplit/>
        </w:trPr>
        <w:tc>
          <w:tcPr>
            <w:tcW w:w="1008" w:type="dxa"/>
            <w:shd w:val="clear" w:fill="FFFFFF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D214E"/>
                <w:sz w:val="17"/>
                <w:szCs w:val="17"/>
              </w:rPr>
              <w:t xml:space="preserve">AW-TC-013</w:t>
            </w:r>
          </w:p>
        </w:tc>
        <w:tc>
          <w:tcPr>
            <w:tcW w:w="1728" w:type="dxa"/>
            <w:shd w:val="clear" w:fill="FFFFFF"/>
            <w:vAlign w:val="center"/>
          </w:tcPr>
          <w:p>
            <w:pPr>
              <w:pStyle w:val="TableBody"/>
              <w:spacing w:before="0" w:after="0" w:line="23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7D214E"/>
                <w:sz w:val="17"/>
                <w:szCs w:val="17"/>
              </w:rPr>
              <w:t xml:space="preserve">Inventory Receipt</w:t>
            </w:r>
          </w:p>
        </w:tc>
        <w:tc>
          <w:tcPr>
            <w:tcW w:w="4464" w:type="dxa"/>
            <w:shd w:val="clear" w:fill="FFFFFF"/>
            <w:vAlign w:val="center"/>
          </w:tcPr>
          <w:p>
            <w:pPr>
              <w:pStyle w:val="TableBody"/>
              <w:keepNext/>
              <w:spacing w:before="0" w:after="25" w:line="230" w:lineRule="auto"/>
            </w:pPr>
            <w:r>
              <w:rPr>
                <w:rFonts w:ascii="Calibri" w:hAnsi="Calibri" w:eastAsia="Calibri" w:cs="Calibri"/>
                <w:b/>
                <w:bCs/>
                <w:color w:val="382A31"/>
                <w:sz w:val="17"/>
                <w:szCs w:val="17"/>
              </w:rPr>
              <w:t xml:space="preserve">Receive and validate a stock batch</w:t>
            </w:r>
          </w:p>
          <w:p>
            <w:pPr>
              <w:pStyle w:val="TableBody"/>
              <w:spacing w:before="0" w:after="0" w:line="230" w:lineRule="auto"/>
            </w:pPr>
            <w:r>
              <w:rPr>
                <w:rFonts w:ascii="Calibri" w:hAnsi="Calibri" w:eastAsia="Calibri" w:cs="Calibri"/>
                <w:color w:val="382A31"/>
                <w:sz w:val="16"/>
                <w:szCs w:val="16"/>
              </w:rPr>
              <w:t xml:space="preserve">1. Add/select an inventory item. 2. Receive a batch with valid quantity, lot, and future expiry. 3. Retry with zero/negative quantity or invalid/expired date.</w:t>
            </w:r>
          </w:p>
        </w:tc>
        <w:tc>
          <w:tcPr>
            <w:tcW w:w="4320" w:type="dxa"/>
            <w:shd w:val="clear" w:fill="FFFFFF"/>
            <w:vAlign w:val="center"/>
          </w:tcPr>
          <w:p>
            <w:pPr>
              <w:pStyle w:val="TableBody"/>
              <w:spacing w:before="0" w:after="0" w:line="230" w:lineRule="auto"/>
              <w:jc w:val="left"/>
            </w:pPr>
            <w:r>
              <w:rPr>
                <w:rFonts w:ascii="Calibri" w:hAnsi="Calibri" w:eastAsia="Calibri" w:cs="Calibri"/>
                <w:color w:val="382A31"/>
                <w:sz w:val="17"/>
                <w:szCs w:val="17"/>
              </w:rPr>
              <w:t xml:space="preserve">Valid stock increases the correct scoped depot once, creates a batch/transaction/audit record, and refreshes totals. Invalid quantities and dates are blocked without changing inventory.</w:t>
            </w:r>
          </w:p>
        </w:tc>
        <w:tc>
          <w:tcPr>
            <w:tcW w:w="1080" w:type="dxa"/>
            <w:shd w:val="clear" w:fill="FFFFFF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D214E"/>
                <w:sz w:val="17"/>
                <w:szCs w:val="17"/>
              </w:rPr>
              <w:t xml:space="preserve">P0</w:t>
            </w:r>
          </w:p>
        </w:tc>
        <w:tc>
          <w:tcPr>
            <w:tcW w:w="1152" w:type="dxa"/>
            <w:shd w:val="clear" w:fill="FFFFFF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color w:val="382A31"/>
                <w:sz w:val="17"/>
                <w:szCs w:val="17"/>
              </w:rPr>
              <w:t xml:space="preserve">Not Started</w:t>
            </w:r>
          </w:p>
        </w:tc>
        <w:tc>
          <w:tcPr>
            <w:tcW w:w="1080" w:type="dxa"/>
            <w:shd w:val="clear" w:fill="FFFFFF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color w:val="382A31"/>
                <w:sz w:val="17"/>
                <w:szCs w:val="17"/>
              </w:rPr>
              <w:t xml:space="preserve">-</w:t>
            </w:r>
          </w:p>
        </w:tc>
      </w:tr>
      <w:tr>
        <w:trPr>
          <w:cantSplit/>
        </w:trPr>
        <w:tc>
          <w:tcPr>
            <w:tcW w:w="1008" w:type="dxa"/>
            <w:shd w:val="clear" w:fill="FFF7FA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D214E"/>
                <w:sz w:val="17"/>
                <w:szCs w:val="17"/>
              </w:rPr>
              <w:t xml:space="preserve">AW-TC-014</w:t>
            </w:r>
          </w:p>
        </w:tc>
        <w:tc>
          <w:tcPr>
            <w:tcW w:w="1728" w:type="dxa"/>
            <w:shd w:val="clear" w:fill="FFF7FA"/>
            <w:vAlign w:val="center"/>
          </w:tcPr>
          <w:p>
            <w:pPr>
              <w:pStyle w:val="TableBody"/>
              <w:spacing w:before="0" w:after="0" w:line="23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7D214E"/>
                <w:sz w:val="17"/>
                <w:szCs w:val="17"/>
              </w:rPr>
              <w:t xml:space="preserve">Stock Requests</w:t>
            </w:r>
          </w:p>
        </w:tc>
        <w:tc>
          <w:tcPr>
            <w:tcW w:w="4464" w:type="dxa"/>
            <w:shd w:val="clear" w:fill="FFF7FA"/>
            <w:vAlign w:val="center"/>
          </w:tcPr>
          <w:p>
            <w:pPr>
              <w:pStyle w:val="TableBody"/>
              <w:keepNext/>
              <w:spacing w:before="0" w:after="25" w:line="230" w:lineRule="auto"/>
            </w:pPr>
            <w:r>
              <w:rPr>
                <w:rFonts w:ascii="Calibri" w:hAnsi="Calibri" w:eastAsia="Calibri" w:cs="Calibri"/>
                <w:b/>
                <w:bCs/>
                <w:color w:val="382A31"/>
                <w:sz w:val="17"/>
                <w:szCs w:val="17"/>
              </w:rPr>
              <w:t xml:space="preserve">Review, approve/reject, dispatch, and receive</w:t>
            </w:r>
          </w:p>
          <w:p>
            <w:pPr>
              <w:pStyle w:val="TableBody"/>
              <w:spacing w:before="0" w:after="0" w:line="230" w:lineRule="auto"/>
            </w:pPr>
            <w:r>
              <w:rPr>
                <w:rFonts w:ascii="Calibri" w:hAnsi="Calibri" w:eastAsia="Calibri" w:cs="Calibri"/>
                <w:color w:val="382A31"/>
                <w:sz w:val="16"/>
                <w:szCs w:val="16"/>
              </w:rPr>
              <w:t xml:space="preserve">1. Open a pending request. 2. Test full/partial approval and rejection without/with a reason. 3. Issue available stock. 4. Confirm destination receipt.</w:t>
            </w:r>
          </w:p>
        </w:tc>
        <w:tc>
          <w:tcPr>
            <w:tcW w:w="4320" w:type="dxa"/>
            <w:shd w:val="clear" w:fill="FFF7FA"/>
            <w:vAlign w:val="center"/>
          </w:tcPr>
          <w:p>
            <w:pPr>
              <w:pStyle w:val="TableBody"/>
              <w:spacing w:before="0" w:after="0" w:line="230" w:lineRule="auto"/>
              <w:jc w:val="left"/>
            </w:pPr>
            <w:r>
              <w:rPr>
                <w:rFonts w:ascii="Calibri" w:hAnsi="Calibri" w:eastAsia="Calibri" w:cs="Calibri"/>
                <w:color w:val="382A31"/>
                <w:sz w:val="17"/>
                <w:szCs w:val="17"/>
              </w:rPr>
              <w:t xml:space="preserve">Approved quantity is validated against request and stock; rejection requires a reason; issue deducts the selected source batch once; receipt credits the destination once; status progresses correctly and every transition is auditable.</w:t>
            </w:r>
          </w:p>
        </w:tc>
        <w:tc>
          <w:tcPr>
            <w:tcW w:w="1080" w:type="dxa"/>
            <w:shd w:val="clear" w:fill="FFF7FA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D214E"/>
                <w:sz w:val="17"/>
                <w:szCs w:val="17"/>
              </w:rPr>
              <w:t xml:space="preserve">P0</w:t>
            </w:r>
          </w:p>
        </w:tc>
        <w:tc>
          <w:tcPr>
            <w:tcW w:w="1152" w:type="dxa"/>
            <w:shd w:val="clear" w:fill="FFF7FA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color w:val="382A31"/>
                <w:sz w:val="17"/>
                <w:szCs w:val="17"/>
              </w:rPr>
              <w:t xml:space="preserve">Not Started</w:t>
            </w:r>
          </w:p>
        </w:tc>
        <w:tc>
          <w:tcPr>
            <w:tcW w:w="1080" w:type="dxa"/>
            <w:shd w:val="clear" w:fill="FFF7FA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color w:val="382A31"/>
                <w:sz w:val="17"/>
                <w:szCs w:val="17"/>
              </w:rPr>
              <w:t xml:space="preserve">-</w:t>
            </w:r>
          </w:p>
        </w:tc>
      </w:tr>
      <w:tr>
        <w:trPr>
          <w:cantSplit/>
        </w:trPr>
        <w:tc>
          <w:tcPr>
            <w:tcW w:w="1008" w:type="dxa"/>
            <w:shd w:val="clear" w:fill="FFFFFF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D214E"/>
                <w:sz w:val="17"/>
                <w:szCs w:val="17"/>
              </w:rPr>
              <w:t xml:space="preserve">AW-TC-015</w:t>
            </w:r>
          </w:p>
        </w:tc>
        <w:tc>
          <w:tcPr>
            <w:tcW w:w="1728" w:type="dxa"/>
            <w:shd w:val="clear" w:fill="FFFFFF"/>
            <w:vAlign w:val="center"/>
          </w:tcPr>
          <w:p>
            <w:pPr>
              <w:pStyle w:val="TableBody"/>
              <w:spacing w:before="0" w:after="0" w:line="23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7D214E"/>
                <w:sz w:val="17"/>
                <w:szCs w:val="17"/>
              </w:rPr>
              <w:t xml:space="preserve">Inventory Integrity</w:t>
            </w:r>
          </w:p>
        </w:tc>
        <w:tc>
          <w:tcPr>
            <w:tcW w:w="4464" w:type="dxa"/>
            <w:shd w:val="clear" w:fill="FFFFFF"/>
            <w:vAlign w:val="center"/>
          </w:tcPr>
          <w:p>
            <w:pPr>
              <w:pStyle w:val="TableBody"/>
              <w:keepNext/>
              <w:spacing w:before="0" w:after="25" w:line="230" w:lineRule="auto"/>
            </w:pPr>
            <w:r>
              <w:rPr>
                <w:rFonts w:ascii="Calibri" w:hAnsi="Calibri" w:eastAsia="Calibri" w:cs="Calibri"/>
                <w:b/>
                <w:bCs/>
                <w:color w:val="382A31"/>
                <w:sz w:val="17"/>
                <w:szCs w:val="17"/>
              </w:rPr>
              <w:t xml:space="preserve">FEFO, alerts, disposal, and CSV exports</w:t>
            </w:r>
          </w:p>
          <w:p>
            <w:pPr>
              <w:pStyle w:val="TableBody"/>
              <w:spacing w:before="0" w:after="0" w:line="230" w:lineRule="auto"/>
            </w:pPr>
            <w:r>
              <w:rPr>
                <w:rFonts w:ascii="Calibri" w:hAnsi="Calibri" w:eastAsia="Calibri" w:cs="Calibri"/>
                <w:color w:val="382A31"/>
                <w:sz w:val="16"/>
                <w:szCs w:val="16"/>
              </w:rPr>
              <w:t xml:space="preserve">1. Seed multiple expiries and low stock. 2. Dispense/transfer stock. 3. Dispose an expired batch with confirmation. 4. Export catalogue and batches CSV.</w:t>
            </w:r>
          </w:p>
        </w:tc>
        <w:tc>
          <w:tcPr>
            <w:tcW w:w="4320" w:type="dxa"/>
            <w:shd w:val="clear" w:fill="FFFFFF"/>
            <w:vAlign w:val="center"/>
          </w:tcPr>
          <w:p>
            <w:pPr>
              <w:pStyle w:val="TableBody"/>
              <w:spacing w:before="0" w:after="0" w:line="230" w:lineRule="auto"/>
              <w:jc w:val="left"/>
            </w:pPr>
            <w:r>
              <w:rPr>
                <w:rFonts w:ascii="Calibri" w:hAnsi="Calibri" w:eastAsia="Calibri" w:cs="Calibri"/>
                <w:color w:val="382A31"/>
                <w:sz w:val="17"/>
                <w:szCs w:val="17"/>
              </w:rPr>
              <w:t xml:space="preserve">Earliest valid expiry is used first; low/expiry alerts match thresholds; disposal cannot create negative stock and is audited; downloaded CSV files contain the currently scoped, filtered records with correct headings.</w:t>
            </w:r>
          </w:p>
        </w:tc>
        <w:tc>
          <w:tcPr>
            <w:tcW w:w="1080" w:type="dxa"/>
            <w:shd w:val="clear" w:fill="FFFFFF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D214E"/>
                <w:sz w:val="17"/>
                <w:szCs w:val="17"/>
              </w:rPr>
              <w:t xml:space="preserve">P1</w:t>
            </w:r>
          </w:p>
        </w:tc>
        <w:tc>
          <w:tcPr>
            <w:tcW w:w="1152" w:type="dxa"/>
            <w:shd w:val="clear" w:fill="FFFFFF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color w:val="382A31"/>
                <w:sz w:val="17"/>
                <w:szCs w:val="17"/>
              </w:rPr>
              <w:t xml:space="preserve">Not Started</w:t>
            </w:r>
          </w:p>
        </w:tc>
        <w:tc>
          <w:tcPr>
            <w:tcW w:w="1080" w:type="dxa"/>
            <w:shd w:val="clear" w:fill="FFFFFF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color w:val="382A31"/>
                <w:sz w:val="17"/>
                <w:szCs w:val="17"/>
              </w:rPr>
              <w:t xml:space="preserve">-</w:t>
            </w:r>
          </w:p>
        </w:tc>
      </w:tr>
      <w:tr>
        <w:trPr>
          <w:cantSplit/>
        </w:trPr>
        <w:tc>
          <w:tcPr>
            <w:tcW w:w="1008" w:type="dxa"/>
            <w:shd w:val="clear" w:fill="FFF7FA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D214E"/>
                <w:sz w:val="17"/>
                <w:szCs w:val="17"/>
              </w:rPr>
              <w:t xml:space="preserve">AW-TC-016</w:t>
            </w:r>
          </w:p>
        </w:tc>
        <w:tc>
          <w:tcPr>
            <w:tcW w:w="1728" w:type="dxa"/>
            <w:shd w:val="clear" w:fill="FFF7FA"/>
            <w:vAlign w:val="center"/>
          </w:tcPr>
          <w:p>
            <w:pPr>
              <w:pStyle w:val="TableBody"/>
              <w:spacing w:before="0" w:after="0" w:line="23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7D214E"/>
                <w:sz w:val="17"/>
                <w:szCs w:val="17"/>
              </w:rPr>
              <w:t xml:space="preserve">Reports &amp; Analytics</w:t>
            </w:r>
          </w:p>
        </w:tc>
        <w:tc>
          <w:tcPr>
            <w:tcW w:w="4464" w:type="dxa"/>
            <w:shd w:val="clear" w:fill="FFF7FA"/>
            <w:vAlign w:val="center"/>
          </w:tcPr>
          <w:p>
            <w:pPr>
              <w:pStyle w:val="TableBody"/>
              <w:keepNext/>
              <w:spacing w:before="0" w:after="25" w:line="230" w:lineRule="auto"/>
            </w:pPr>
            <w:r>
              <w:rPr>
                <w:rFonts w:ascii="Calibri" w:hAnsi="Calibri" w:eastAsia="Calibri" w:cs="Calibri"/>
                <w:b/>
                <w:bCs/>
                <w:color w:val="382A31"/>
                <w:sz w:val="17"/>
                <w:szCs w:val="17"/>
              </w:rPr>
              <w:t xml:space="preserve">Filter reports and export PDF</w:t>
            </w:r>
          </w:p>
          <w:p>
            <w:pPr>
              <w:pStyle w:val="TableBody"/>
              <w:spacing w:before="0" w:after="0" w:line="230" w:lineRule="auto"/>
            </w:pPr>
            <w:r>
              <w:rPr>
                <w:rFonts w:ascii="Calibri" w:hAnsi="Calibri" w:eastAsia="Calibri" w:cs="Calibri"/>
                <w:color w:val="382A31"/>
                <w:sz w:val="16"/>
                <w:szCs w:val="16"/>
              </w:rPr>
              <w:t xml:space="preserve">1. Select date/facility/report filters with known data. 2. Compare cards, charts, and tables. 3. Test an empty range. 4. Export the report PDF.</w:t>
            </w:r>
          </w:p>
        </w:tc>
        <w:tc>
          <w:tcPr>
            <w:tcW w:w="4320" w:type="dxa"/>
            <w:shd w:val="clear" w:fill="FFF7FA"/>
            <w:vAlign w:val="center"/>
          </w:tcPr>
          <w:p>
            <w:pPr>
              <w:pStyle w:val="TableBody"/>
              <w:spacing w:before="0" w:after="0" w:line="230" w:lineRule="auto"/>
              <w:jc w:val="left"/>
            </w:pPr>
            <w:r>
              <w:rPr>
                <w:rFonts w:ascii="Calibri" w:hAnsi="Calibri" w:eastAsia="Calibri" w:cs="Calibri"/>
                <w:color w:val="382A31"/>
                <w:sz w:val="17"/>
                <w:szCs w:val="17"/>
              </w:rPr>
              <w:t xml:space="preserve">All report components use the same filters and office scope; totals agree with seeded data; empty results show a clear state; PDF labels, date range, facility context, totals, and tables are readable and accurate.</w:t>
            </w:r>
          </w:p>
        </w:tc>
        <w:tc>
          <w:tcPr>
            <w:tcW w:w="1080" w:type="dxa"/>
            <w:shd w:val="clear" w:fill="FFF7FA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D214E"/>
                <w:sz w:val="17"/>
                <w:szCs w:val="17"/>
              </w:rPr>
              <w:t xml:space="preserve">P1</w:t>
            </w:r>
          </w:p>
        </w:tc>
        <w:tc>
          <w:tcPr>
            <w:tcW w:w="1152" w:type="dxa"/>
            <w:shd w:val="clear" w:fill="FFF7FA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color w:val="382A31"/>
                <w:sz w:val="17"/>
                <w:szCs w:val="17"/>
              </w:rPr>
              <w:t xml:space="preserve">Not Started</w:t>
            </w:r>
          </w:p>
        </w:tc>
        <w:tc>
          <w:tcPr>
            <w:tcW w:w="1080" w:type="dxa"/>
            <w:shd w:val="clear" w:fill="FFF7FA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color w:val="382A31"/>
                <w:sz w:val="17"/>
                <w:szCs w:val="17"/>
              </w:rPr>
              <w:t xml:space="preserve">-</w:t>
            </w:r>
          </w:p>
        </w:tc>
      </w:tr>
      <w:tr>
        <w:trPr>
          <w:cantSplit/>
        </w:trPr>
        <w:tc>
          <w:tcPr>
            <w:tcW w:w="1008" w:type="dxa"/>
            <w:shd w:val="clear" w:fill="FFFFFF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D214E"/>
                <w:sz w:val="17"/>
                <w:szCs w:val="17"/>
              </w:rPr>
              <w:t xml:space="preserve">AW-TC-017</w:t>
            </w:r>
          </w:p>
        </w:tc>
        <w:tc>
          <w:tcPr>
            <w:tcW w:w="1728" w:type="dxa"/>
            <w:shd w:val="clear" w:fill="FFFFFF"/>
            <w:vAlign w:val="center"/>
          </w:tcPr>
          <w:p>
            <w:pPr>
              <w:pStyle w:val="TableBody"/>
              <w:spacing w:before="0" w:after="0" w:line="23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7D214E"/>
                <w:sz w:val="17"/>
                <w:szCs w:val="17"/>
              </w:rPr>
              <w:t xml:space="preserve">Audit Trail</w:t>
            </w:r>
          </w:p>
        </w:tc>
        <w:tc>
          <w:tcPr>
            <w:tcW w:w="4464" w:type="dxa"/>
            <w:shd w:val="clear" w:fill="FFFFFF"/>
            <w:vAlign w:val="center"/>
          </w:tcPr>
          <w:p>
            <w:pPr>
              <w:pStyle w:val="TableBody"/>
              <w:keepNext/>
              <w:spacing w:before="0" w:after="25" w:line="230" w:lineRule="auto"/>
            </w:pPr>
            <w:r>
              <w:rPr>
                <w:rFonts w:ascii="Calibri" w:hAnsi="Calibri" w:eastAsia="Calibri" w:cs="Calibri"/>
                <w:b/>
                <w:bCs/>
                <w:color w:val="382A31"/>
                <w:sz w:val="17"/>
                <w:szCs w:val="17"/>
              </w:rPr>
              <w:t xml:space="preserve">Filter, inspect, and export audit records</w:t>
            </w:r>
          </w:p>
          <w:p>
            <w:pPr>
              <w:pStyle w:val="TableBody"/>
              <w:spacing w:before="0" w:after="0" w:line="230" w:lineRule="auto"/>
            </w:pPr>
            <w:r>
              <w:rPr>
                <w:rFonts w:ascii="Calibri" w:hAnsi="Calibri" w:eastAsia="Calibri" w:cs="Calibri"/>
                <w:color w:val="382A31"/>
                <w:sz w:val="16"/>
                <w:szCs w:val="16"/>
              </w:rPr>
              <w:t xml:space="preserve">1. Perform known login/account/inventory actions. 2. Filter audit by date, actor, action, and module. 3. Open details. 4. Export summary and detailed PDFs.</w:t>
            </w:r>
          </w:p>
        </w:tc>
        <w:tc>
          <w:tcPr>
            <w:tcW w:w="4320" w:type="dxa"/>
            <w:shd w:val="clear" w:fill="FFFFFF"/>
            <w:vAlign w:val="center"/>
          </w:tcPr>
          <w:p>
            <w:pPr>
              <w:pStyle w:val="TableBody"/>
              <w:spacing w:before="0" w:after="0" w:line="230" w:lineRule="auto"/>
              <w:jc w:val="left"/>
            </w:pPr>
            <w:r>
              <w:rPr>
                <w:rFonts w:ascii="Calibri" w:hAnsi="Calibri" w:eastAsia="Calibri" w:cs="Calibri"/>
                <w:color w:val="382A31"/>
                <w:sz w:val="17"/>
                <w:szCs w:val="17"/>
              </w:rPr>
              <w:t xml:space="preserve">Each action appears once with correct actor, timestamp, action label, table, and safe old/new details; filters return the expected subset; PDFs match the visible scoped data and do not expose hidden secrets.</w:t>
            </w:r>
          </w:p>
        </w:tc>
        <w:tc>
          <w:tcPr>
            <w:tcW w:w="1080" w:type="dxa"/>
            <w:shd w:val="clear" w:fill="FFFFFF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D214E"/>
                <w:sz w:val="17"/>
                <w:szCs w:val="17"/>
              </w:rPr>
              <w:t xml:space="preserve">P1</w:t>
            </w:r>
          </w:p>
        </w:tc>
        <w:tc>
          <w:tcPr>
            <w:tcW w:w="1152" w:type="dxa"/>
            <w:shd w:val="clear" w:fill="FFFFFF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color w:val="382A31"/>
                <w:sz w:val="17"/>
                <w:szCs w:val="17"/>
              </w:rPr>
              <w:t xml:space="preserve">Not Started</w:t>
            </w:r>
          </w:p>
        </w:tc>
        <w:tc>
          <w:tcPr>
            <w:tcW w:w="1080" w:type="dxa"/>
            <w:shd w:val="clear" w:fill="FFFFFF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color w:val="382A31"/>
                <w:sz w:val="17"/>
                <w:szCs w:val="17"/>
              </w:rPr>
              <w:t xml:space="preserve">-</w:t>
            </w:r>
          </w:p>
        </w:tc>
      </w:tr>
      <w:tr>
        <w:trPr>
          <w:cantSplit/>
        </w:trPr>
        <w:tc>
          <w:tcPr>
            <w:tcW w:w="1008" w:type="dxa"/>
            <w:shd w:val="clear" w:fill="FFF7FA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D214E"/>
                <w:sz w:val="17"/>
                <w:szCs w:val="17"/>
              </w:rPr>
              <w:t xml:space="preserve">AW-TC-018</w:t>
            </w:r>
          </w:p>
        </w:tc>
        <w:tc>
          <w:tcPr>
            <w:tcW w:w="1728" w:type="dxa"/>
            <w:shd w:val="clear" w:fill="FFF7FA"/>
            <w:vAlign w:val="center"/>
          </w:tcPr>
          <w:p>
            <w:pPr>
              <w:pStyle w:val="TableBody"/>
              <w:spacing w:before="0" w:after="0" w:line="23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7D214E"/>
                <w:sz w:val="17"/>
                <w:szCs w:val="17"/>
              </w:rPr>
              <w:t xml:space="preserve">Backup &amp; Restore</w:t>
            </w:r>
          </w:p>
        </w:tc>
        <w:tc>
          <w:tcPr>
            <w:tcW w:w="4464" w:type="dxa"/>
            <w:shd w:val="clear" w:fill="FFF7FA"/>
            <w:vAlign w:val="center"/>
          </w:tcPr>
          <w:p>
            <w:pPr>
              <w:pStyle w:val="TableBody"/>
              <w:keepNext/>
              <w:spacing w:before="0" w:after="25" w:line="230" w:lineRule="auto"/>
            </w:pPr>
            <w:r>
              <w:rPr>
                <w:rFonts w:ascii="Calibri" w:hAnsi="Calibri" w:eastAsia="Calibri" w:cs="Calibri"/>
                <w:b/>
                <w:bCs/>
                <w:color w:val="382A31"/>
                <w:sz w:val="17"/>
                <w:szCs w:val="17"/>
              </w:rPr>
              <w:t xml:space="preserve">Export and safely validate a selective restore</w:t>
            </w:r>
          </w:p>
          <w:p>
            <w:pPr>
              <w:pStyle w:val="TableBody"/>
              <w:spacing w:before="0" w:after="0" w:line="230" w:lineRule="auto"/>
            </w:pPr>
            <w:r>
              <w:rPr>
                <w:rFonts w:ascii="Calibri" w:hAnsi="Calibri" w:eastAsia="Calibri" w:cs="Calibri"/>
                <w:color w:val="382A31"/>
                <w:sz w:val="16"/>
                <w:szCs w:val="16"/>
              </w:rPr>
              <w:t xml:space="preserve">1. Download a JSON backup from test data. 2. Inspect metadata/counts. 3. Upload a valid backup and review the preview. 4. Cancel, then test malformed/wrong-schema input.</w:t>
            </w:r>
          </w:p>
        </w:tc>
        <w:tc>
          <w:tcPr>
            <w:tcW w:w="4320" w:type="dxa"/>
            <w:shd w:val="clear" w:fill="FFF7FA"/>
            <w:vAlign w:val="center"/>
          </w:tcPr>
          <w:p>
            <w:pPr>
              <w:pStyle w:val="TableBody"/>
              <w:spacing w:before="0" w:after="0" w:line="230" w:lineRule="auto"/>
              <w:jc w:val="left"/>
            </w:pPr>
            <w:r>
              <w:rPr>
                <w:rFonts w:ascii="Calibri" w:hAnsi="Calibri" w:eastAsia="Calibri" w:cs="Calibri"/>
                <w:color w:val="382A31"/>
                <w:sz w:val="17"/>
                <w:szCs w:val="17"/>
              </w:rPr>
              <w:t xml:space="preserve">Backup downloads with expected scoped datasets and metadata. Restore provides a clear preview and explicit confirmation. Cancel/malformed input changes nothing; errors are actionable; authorized test restore is audited and preserves referential integrity.</w:t>
            </w:r>
          </w:p>
        </w:tc>
        <w:tc>
          <w:tcPr>
            <w:tcW w:w="1080" w:type="dxa"/>
            <w:shd w:val="clear" w:fill="FFF7FA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D214E"/>
                <w:sz w:val="17"/>
                <w:szCs w:val="17"/>
              </w:rPr>
              <w:t xml:space="preserve">P0</w:t>
            </w:r>
          </w:p>
        </w:tc>
        <w:tc>
          <w:tcPr>
            <w:tcW w:w="1152" w:type="dxa"/>
            <w:shd w:val="clear" w:fill="FFF7FA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color w:val="382A31"/>
                <w:sz w:val="17"/>
                <w:szCs w:val="17"/>
              </w:rPr>
              <w:t xml:space="preserve">Not Started</w:t>
            </w:r>
          </w:p>
        </w:tc>
        <w:tc>
          <w:tcPr>
            <w:tcW w:w="1080" w:type="dxa"/>
            <w:shd w:val="clear" w:fill="FFF7FA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color w:val="382A31"/>
                <w:sz w:val="17"/>
                <w:szCs w:val="17"/>
              </w:rPr>
              <w:t xml:space="preserve">-</w:t>
            </w:r>
          </w:p>
        </w:tc>
      </w:tr>
      <w:tr>
        <w:trPr>
          <w:cantSplit/>
        </w:trPr>
        <w:tc>
          <w:tcPr>
            <w:tcW w:w="1008" w:type="dxa"/>
            <w:shd w:val="clear" w:fill="FFFFFF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D214E"/>
                <w:sz w:val="17"/>
                <w:szCs w:val="17"/>
              </w:rPr>
              <w:t xml:space="preserve">AW-TC-019</w:t>
            </w:r>
          </w:p>
        </w:tc>
        <w:tc>
          <w:tcPr>
            <w:tcW w:w="1728" w:type="dxa"/>
            <w:shd w:val="clear" w:fill="FFFFFF"/>
            <w:vAlign w:val="center"/>
          </w:tcPr>
          <w:p>
            <w:pPr>
              <w:pStyle w:val="TableBody"/>
              <w:spacing w:before="0" w:after="0" w:line="23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7D214E"/>
                <w:sz w:val="17"/>
                <w:szCs w:val="17"/>
              </w:rPr>
              <w:t xml:space="preserve">Responsive &amp; Failure States</w:t>
            </w:r>
          </w:p>
        </w:tc>
        <w:tc>
          <w:tcPr>
            <w:tcW w:w="4464" w:type="dxa"/>
            <w:shd w:val="clear" w:fill="FFFFFF"/>
            <w:vAlign w:val="center"/>
          </w:tcPr>
          <w:p>
            <w:pPr>
              <w:pStyle w:val="TableBody"/>
              <w:keepNext/>
              <w:spacing w:before="0" w:after="25" w:line="230" w:lineRule="auto"/>
            </w:pPr>
            <w:r>
              <w:rPr>
                <w:rFonts w:ascii="Calibri" w:hAnsi="Calibri" w:eastAsia="Calibri" w:cs="Calibri"/>
                <w:b/>
                <w:bCs/>
                <w:color w:val="382A31"/>
                <w:sz w:val="17"/>
                <w:szCs w:val="17"/>
              </w:rPr>
              <w:t xml:space="preserve">Responsive navigation, empty data, and request failure</w:t>
            </w:r>
          </w:p>
          <w:p>
            <w:pPr>
              <w:pStyle w:val="TableBody"/>
              <w:spacing w:before="0" w:after="0" w:line="230" w:lineRule="auto"/>
            </w:pPr>
            <w:r>
              <w:rPr>
                <w:rFonts w:ascii="Calibri" w:hAnsi="Calibri" w:eastAsia="Calibri" w:cs="Calibri"/>
                <w:color w:val="382A31"/>
                <w:sz w:val="16"/>
                <w:szCs w:val="16"/>
              </w:rPr>
              <w:t xml:space="preserve">1. Test key pages at desktop, tablet, and phone widths. 2. Toggle/close the sidebar. 3. Use an empty dataset. 4. Simulate a failed data request.</w:t>
            </w:r>
          </w:p>
        </w:tc>
        <w:tc>
          <w:tcPr>
            <w:tcW w:w="4320" w:type="dxa"/>
            <w:shd w:val="clear" w:fill="FFFFFF"/>
            <w:vAlign w:val="center"/>
          </w:tcPr>
          <w:p>
            <w:pPr>
              <w:pStyle w:val="TableBody"/>
              <w:spacing w:before="0" w:after="0" w:line="230" w:lineRule="auto"/>
              <w:jc w:val="left"/>
            </w:pPr>
            <w:r>
              <w:rPr>
                <w:rFonts w:ascii="Calibri" w:hAnsi="Calibri" w:eastAsia="Calibri" w:cs="Calibri"/>
                <w:color w:val="382A31"/>
                <w:sz w:val="17"/>
                <w:szCs w:val="17"/>
              </w:rPr>
              <w:t xml:space="preserve">Content remains readable without horizontal overlap; sidebar opens/closes and keyboard focus is visible; empty states explain that no records exist; failures show a recoverable error/retry path without stale or fabricated totals.</w:t>
            </w:r>
          </w:p>
        </w:tc>
        <w:tc>
          <w:tcPr>
            <w:tcW w:w="1080" w:type="dxa"/>
            <w:shd w:val="clear" w:fill="FFFFFF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D214E"/>
                <w:sz w:val="17"/>
                <w:szCs w:val="17"/>
              </w:rPr>
              <w:t xml:space="preserve">P2</w:t>
            </w:r>
          </w:p>
        </w:tc>
        <w:tc>
          <w:tcPr>
            <w:tcW w:w="1152" w:type="dxa"/>
            <w:shd w:val="clear" w:fill="FFFFFF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color w:val="382A31"/>
                <w:sz w:val="17"/>
                <w:szCs w:val="17"/>
              </w:rPr>
              <w:t xml:space="preserve">Not Started</w:t>
            </w:r>
          </w:p>
        </w:tc>
        <w:tc>
          <w:tcPr>
            <w:tcW w:w="1080" w:type="dxa"/>
            <w:shd w:val="clear" w:fill="FFFFFF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color w:val="382A31"/>
                <w:sz w:val="17"/>
                <w:szCs w:val="17"/>
              </w:rPr>
              <w:t xml:space="preserve">-</w:t>
            </w:r>
          </w:p>
        </w:tc>
      </w:tr>
      <w:tr>
        <w:trPr>
          <w:cantSplit/>
        </w:trPr>
        <w:tc>
          <w:tcPr>
            <w:tcW w:w="1008" w:type="dxa"/>
            <w:shd w:val="clear" w:fill="FFF7FA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D214E"/>
                <w:sz w:val="17"/>
                <w:szCs w:val="17"/>
              </w:rPr>
              <w:t xml:space="preserve">AW-TC-020</w:t>
            </w:r>
          </w:p>
        </w:tc>
        <w:tc>
          <w:tcPr>
            <w:tcW w:w="1728" w:type="dxa"/>
            <w:shd w:val="clear" w:fill="FFF7FA"/>
            <w:vAlign w:val="center"/>
          </w:tcPr>
          <w:p>
            <w:pPr>
              <w:pStyle w:val="TableBody"/>
              <w:spacing w:before="0" w:after="0" w:line="23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7D214E"/>
                <w:sz w:val="17"/>
                <w:szCs w:val="17"/>
              </w:rPr>
              <w:t xml:space="preserve">Logout</w:t>
            </w:r>
          </w:p>
        </w:tc>
        <w:tc>
          <w:tcPr>
            <w:tcW w:w="4464" w:type="dxa"/>
            <w:shd w:val="clear" w:fill="FFF7FA"/>
            <w:vAlign w:val="center"/>
          </w:tcPr>
          <w:p>
            <w:pPr>
              <w:pStyle w:val="TableBody"/>
              <w:keepNext/>
              <w:spacing w:before="0" w:after="25" w:line="230" w:lineRule="auto"/>
            </w:pPr>
            <w:r>
              <w:rPr>
                <w:rFonts w:ascii="Calibri" w:hAnsi="Calibri" w:eastAsia="Calibri" w:cs="Calibri"/>
                <w:b/>
                <w:bCs/>
                <w:color w:val="382A31"/>
                <w:sz w:val="17"/>
                <w:szCs w:val="17"/>
              </w:rPr>
              <w:t xml:space="preserve">End the portal session safely</w:t>
            </w:r>
          </w:p>
          <w:p>
            <w:pPr>
              <w:pStyle w:val="TableBody"/>
              <w:spacing w:before="0" w:after="0" w:line="230" w:lineRule="auto"/>
            </w:pPr>
            <w:r>
              <w:rPr>
                <w:rFonts w:ascii="Calibri" w:hAnsi="Calibri" w:eastAsia="Calibri" w:cs="Calibri"/>
                <w:color w:val="382A31"/>
                <w:sz w:val="16"/>
                <w:szCs w:val="16"/>
              </w:rPr>
              <w:t xml:space="preserve">1. Select Logout and cancel once. 2. Select Logout again and confirm. 3. Use browser Back and directly open a protected URL.</w:t>
            </w:r>
          </w:p>
        </w:tc>
        <w:tc>
          <w:tcPr>
            <w:tcW w:w="4320" w:type="dxa"/>
            <w:shd w:val="clear" w:fill="FFF7FA"/>
            <w:vAlign w:val="center"/>
          </w:tcPr>
          <w:p>
            <w:pPr>
              <w:pStyle w:val="TableBody"/>
              <w:spacing w:before="0" w:after="0" w:line="230" w:lineRule="auto"/>
              <w:jc w:val="left"/>
            </w:pPr>
            <w:r>
              <w:rPr>
                <w:rFonts w:ascii="Calibri" w:hAnsi="Calibri" w:eastAsia="Calibri" w:cs="Calibri"/>
                <w:color w:val="382A31"/>
                <w:sz w:val="17"/>
                <w:szCs w:val="17"/>
              </w:rPr>
              <w:t xml:space="preserve">Cancel keeps the active session. Confirmed logout records the action when available, clears admin session and portal scope, redirects to Login, and prevents Back/direct URL from restoring protected content.</w:t>
            </w:r>
          </w:p>
        </w:tc>
        <w:tc>
          <w:tcPr>
            <w:tcW w:w="1080" w:type="dxa"/>
            <w:shd w:val="clear" w:fill="FFF7FA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D214E"/>
                <w:sz w:val="17"/>
                <w:szCs w:val="17"/>
              </w:rPr>
              <w:t xml:space="preserve">P0</w:t>
            </w:r>
          </w:p>
        </w:tc>
        <w:tc>
          <w:tcPr>
            <w:tcW w:w="1152" w:type="dxa"/>
            <w:shd w:val="clear" w:fill="FFF7FA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color w:val="382A31"/>
                <w:sz w:val="17"/>
                <w:szCs w:val="17"/>
              </w:rPr>
              <w:t xml:space="preserve">Not Started</w:t>
            </w:r>
          </w:p>
        </w:tc>
        <w:tc>
          <w:tcPr>
            <w:tcW w:w="1080" w:type="dxa"/>
            <w:shd w:val="clear" w:fill="FFF7FA"/>
            <w:vAlign w:val="center"/>
          </w:tcPr>
          <w:p>
            <w:pPr>
              <w:pStyle w:val="TableBody"/>
              <w:spacing w:before="0" w:after="0" w:line="230" w:lineRule="auto"/>
              <w:jc w:val="center"/>
            </w:pPr>
            <w:r>
              <w:rPr>
                <w:rFonts w:ascii="Calibri" w:hAnsi="Calibri" w:eastAsia="Calibri" w:cs="Calibri"/>
                <w:color w:val="382A31"/>
                <w:sz w:val="17"/>
                <w:szCs w:val="17"/>
              </w:rPr>
              <w:t xml:space="preserve">-</w:t>
            </w:r>
          </w:p>
        </w:tc>
      </w:tr>
    </w:tbl>
    <w:p>
      <w:pPr>
        <w:pStyle w:val="Meta"/>
        <w:shd w:val="clear" w:fill="F7F2F5"/>
        <w:spacing w:before="120" w:after="0" w:line="240" w:lineRule="auto"/>
        <w:ind w:left="100" w:right="100"/>
      </w:pPr>
      <w:r>
        <w:rPr>
          <w:rFonts w:ascii="Calibri" w:hAnsi="Calibri" w:eastAsia="Calibri" w:cs="Calibri"/>
          <w:color w:val="66545D"/>
          <w:sz w:val="17"/>
          <w:szCs w:val="17"/>
        </w:rPr>
        <w:t xml:space="preserve">Priority: P0 = critical security/data integrity | P1 = core workflow | P2 = usability/resilience | Execution rule: replace Actual and Status after testing; attach defect IDs in the editable cell notes when a case fails.</w:t>
      </w:r>
    </w:p>
    <w:sectPr>
      <w:headerReference xmlns:r="http://schemas.openxmlformats.org/officeDocument/2006/relationships" w:type="default" r:id="Rbf542b0d11f244fc"/>
      <w:footerReference xmlns:r="http://schemas.openxmlformats.org/officeDocument/2006/relationships" w:type="default" r:id="R193d9bb345e24139"/>
      <w:headerReference xmlns:r="http://schemas.openxmlformats.org/officeDocument/2006/relationships" w:type="even" r:id="R68241a96f1ee4590"/>
      <w:footerReference xmlns:r="http://schemas.openxmlformats.org/officeDocument/2006/relationships" w:type="even" r:id="R22d60ae922d44f9b"/>
      <w:pgSz w:w="15840" w:h="12240" w:orient="landscape"/>
      <w:pgMar w:top="648" w:right="432" w:bottom="648" w:left="432" w:header="360" w:footer="360" w:gutter="0"/>
      <w:cols w:space="360"/>
      <w:docGrid w:linePitch="360"/>
    </w:sectPr>
  </w:body>
</w:document>
</file>

<file path=word/footer1.xml><?xml version="1.0" encoding="utf-8"?>
<w:ftr xmlns:w="http://schemas.openxmlformats.org/wordprocessingml/2006/main">
  <w:p>
    <w:pPr>
      <w:spacing w:before="40" w:after="0"/>
      <w:jc w:val="right"/>
    </w:pPr>
    <w:r>
      <w:rPr>
        <w:rFonts w:ascii="Calibri" w:hAnsi="Calibri" w:eastAsia="Calibri" w:cs="Calibri"/>
        <w:color w:val="66545D"/>
        <w:sz w:val="16"/>
        <w:szCs w:val="16"/>
      </w:rPr>
      <w:t xml:space="preserve">InaAgapay Admin Web  |  Page </w:t>
    </w:r>
    <w:fldSimple w:instr=" PAGE ">
      <w:r>
        <w:rPr>
          <w:rFonts w:ascii="Calibri" w:hAnsi="Calibri" w:eastAsia="Calibri" w:cs="Calibri"/>
          <w:color w:val="66545D"/>
          <w:sz w:val="16"/>
          <w:szCs w:val="16"/>
        </w:rPr>
        <w:t xml:space="preserve">1</w:t>
      </w:r>
    </w:fldSimple>
  </w:p>
</w:ftr>
</file>

<file path=word/footer2.xml><?xml version="1.0" encoding="utf-8"?>
<w:ftr xmlns:w="http://schemas.openxmlformats.org/wordprocessingml/2006/main">
  <w:p>
    <w:pPr>
      <w:spacing w:before="40" w:after="0"/>
      <w:jc w:val="right"/>
    </w:pPr>
    <w:r>
      <w:rPr>
        <w:rFonts w:ascii="Calibri" w:hAnsi="Calibri" w:eastAsia="Calibri" w:cs="Calibri"/>
        <w:color w:val="66545D"/>
        <w:sz w:val="16"/>
        <w:szCs w:val="16"/>
      </w:rPr>
      <w:t xml:space="preserve">InaAgapay Admin Web  |  Page </w:t>
    </w:r>
    <w:fldSimple w:instr=" PAGE ">
      <w:r>
        <w:rPr>
          <w:rFonts w:ascii="Calibri" w:hAnsi="Calibri" w:eastAsia="Calibri" w:cs="Calibri"/>
          <w:color w:val="66545D"/>
          <w:sz w:val="16"/>
          <w:szCs w:val="16"/>
        </w:rP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Bdr>
        <w:bottom w:val="single" w:color="E2CDD7" w:sz="6" w:space="4"/>
      </w:pBdr>
      <w:spacing w:after="60"/>
    </w:pPr>
    <w:r>
      <w:rPr>
        <w:rFonts w:ascii="Calibri" w:hAnsi="Calibri" w:eastAsia="Calibri" w:cs="Calibri"/>
        <w:b/>
        <w:bCs/>
        <w:color w:val="7D214E"/>
        <w:sz w:val="17"/>
        <w:szCs w:val="17"/>
      </w:rPr>
      <w:t xml:space="preserve">INAAGAPAY  |  ADMIN WEB TEST MATRIX</w:t>
    </w:r>
  </w:p>
</w:hdr>
</file>

<file path=word/header2.xml><?xml version="1.0" encoding="utf-8"?>
<w:hdr xmlns:w="http://schemas.openxmlformats.org/wordprocessingml/2006/main">
  <w:p>
    <w:pPr>
      <w:pBdr>
        <w:bottom w:val="single" w:color="E2CDD7" w:sz="6" w:space="4"/>
      </w:pBdr>
      <w:spacing w:after="60"/>
    </w:pPr>
    <w:r>
      <w:rPr>
        <w:rFonts w:ascii="Calibri" w:hAnsi="Calibri" w:eastAsia="Calibri" w:cs="Calibri"/>
        <w:b/>
        <w:bCs/>
        <w:color w:val="7D214E"/>
        <w:sz w:val="17"/>
        <w:szCs w:val="17"/>
      </w:rPr>
      <w:t xml:space="preserve">INAAGAPAY  |  ADMIN WEB TEST MATRIX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240"/>
      </w:pPr>
      <w:rPr>
        <w:rFonts w:ascii="Calibri" w:hAnsi="Calibri"/>
        <w:sz w:val="18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evenAndOddHeaders/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Normal" w:default="true" w:customStyle="false">
    <w:name w:val="Normal"/>
    <w:next w:val="Normal"/>
    <w:pPr>
      <w:spacing w:before="0" w:after="120" w:line="276" w:lineRule="auto"/>
    </w:pPr>
    <w:rPr>
      <w:rFonts w:ascii="Calibri" w:hAnsi="Calibri" w:eastAsia="Calibri" w:cs="Calibri"/>
      <w:color w:val="382A31"/>
      <w:sz w:val="21"/>
      <w:szCs w:val="21"/>
    </w:rPr>
  </w:style>
  <w:style w:type="paragraph" w:styleId="Title" w:default="false" w:customStyle="true">
    <w:name w:val="Title"/>
    <w:basedOn w:val="Normal"/>
    <w:next w:val="Normal"/>
    <w:pPr>
      <w:spacing w:before="0" w:after="80" w:line="240" w:lineRule="auto"/>
    </w:pPr>
    <w:rPr>
      <w:rFonts w:ascii="Calibri" w:hAnsi="Calibri" w:eastAsia="Calibri" w:cs="Calibri"/>
      <w:b/>
      <w:bCs/>
      <w:color w:val="E6398D"/>
      <w:sz w:val="48"/>
      <w:szCs w:val="48"/>
    </w:rPr>
  </w:style>
  <w:style w:type="paragraph" w:styleId="Subtitle" w:default="false" w:customStyle="true">
    <w:name w:val="Subtitle"/>
    <w:basedOn w:val="Normal"/>
    <w:next w:val="Normal"/>
    <w:pPr>
      <w:spacing w:before="0" w:after="100" w:line="260" w:lineRule="auto"/>
    </w:pPr>
    <w:rPr>
      <w:rFonts w:ascii="Calibri" w:hAnsi="Calibri" w:eastAsia="Calibri" w:cs="Calibri"/>
      <w:color w:val="66545D"/>
      <w:sz w:val="21"/>
      <w:szCs w:val="21"/>
    </w:rPr>
  </w:style>
  <w:style w:type="paragraph" w:styleId="Heading1" w:default="false" w:customStyle="true">
    <w:name w:val="Heading 1"/>
    <w:basedOn w:val="Normal"/>
    <w:next w:val="Normal"/>
    <w:pPr>
      <w:spacing w:before="240" w:after="120" w:line="280" w:lineRule="auto"/>
    </w:pPr>
    <w:rPr>
      <w:rFonts w:ascii="Calibri" w:hAnsi="Calibri" w:eastAsia="Calibri" w:cs="Calibri"/>
      <w:b/>
      <w:bCs/>
      <w:color w:val="7D214E"/>
      <w:sz w:val="32"/>
      <w:szCs w:val="32"/>
    </w:rPr>
  </w:style>
  <w:style w:type="paragraph" w:styleId="Heading2" w:default="false" w:customStyle="true">
    <w:name w:val="Heading 2"/>
    <w:basedOn w:val="Normal"/>
    <w:next w:val="Normal"/>
    <w:pPr>
      <w:spacing w:before="160" w:after="80" w:line="260" w:lineRule="auto"/>
    </w:pPr>
    <w:rPr>
      <w:rFonts w:ascii="Calibri" w:hAnsi="Calibri" w:eastAsia="Calibri" w:cs="Calibri"/>
      <w:b/>
      <w:bCs/>
      <w:color w:val="7D214E"/>
      <w:sz w:val="24"/>
      <w:szCs w:val="24"/>
    </w:rPr>
  </w:style>
  <w:style w:type="paragraph" w:styleId="Heading3" w:default="false" w:customStyle="true">
    <w:name w:val="Heading 3"/>
    <w:basedOn w:val="Normal"/>
    <w:next w:val="Normal"/>
    <w:pPr>
      <w:spacing w:before="120" w:after="60" w:line="250" w:lineRule="auto"/>
    </w:pPr>
    <w:rPr>
      <w:rFonts w:ascii="Calibri" w:hAnsi="Calibri" w:eastAsia="Calibri" w:cs="Calibri"/>
      <w:b/>
      <w:bCs/>
      <w:color w:val="7D214E"/>
      <w:sz w:val="22"/>
      <w:szCs w:val="22"/>
    </w:rPr>
  </w:style>
  <w:style w:type="paragraph" w:styleId="Meta" w:default="false" w:customStyle="true">
    <w:name w:val="Metadata"/>
    <w:basedOn w:val="Normal"/>
    <w:next w:val="Normal"/>
    <w:pPr>
      <w:spacing w:before="0" w:after="80" w:line="240" w:lineRule="auto"/>
    </w:pPr>
    <w:rPr>
      <w:rFonts w:ascii="Calibri" w:hAnsi="Calibri" w:eastAsia="Calibri" w:cs="Calibri"/>
      <w:color w:val="66545D"/>
      <w:sz w:val="18"/>
      <w:szCs w:val="18"/>
    </w:rPr>
  </w:style>
  <w:style w:type="paragraph" w:styleId="TableBody" w:default="false" w:customStyle="true">
    <w:name w:val="Table Body"/>
    <w:basedOn w:val="Normal"/>
    <w:next w:val="Normal"/>
    <w:pPr>
      <w:spacing w:before="0" w:after="0" w:line="230" w:lineRule="auto"/>
    </w:pPr>
    <w:rPr>
      <w:rFonts w:ascii="Calibri" w:hAnsi="Calibri" w:eastAsia="Calibri" w:cs="Calibri"/>
      <w:color w:val="382A31"/>
      <w:sz w:val="17"/>
      <w:szCs w:val="17"/>
    </w:rPr>
  </w:style>
  <w:style w:type="paragraph" w:styleId="TableHeader" w:default="false" w:customStyle="true">
    <w:name w:val="Table Header"/>
    <w:basedOn w:val="Normal"/>
    <w:next w:val="Normal"/>
    <w:pPr>
      <w:spacing w:before="0" w:after="0" w:line="220" w:lineRule="auto"/>
    </w:pPr>
    <w:rPr>
      <w:rFonts w:ascii="Calibri" w:hAnsi="Calibri" w:eastAsia="Calibri" w:cs="Calibri"/>
      <w:b/>
      <w:bCs/>
      <w:color w:val="FFFFFF"/>
      <w:sz w:val="16"/>
      <w:szCs w:val="16"/>
    </w:rPr>
  </w:style>
  <w:style w:type="paragraph" w:styleId="FooterText" w:default="false" w:customStyle="true">
    <w:name w:val="Footer Text"/>
    <w:basedOn w:val="Normal"/>
    <w:next w:val="Normal"/>
    <w:pPr>
      <w:spacing w:before="0" w:after="0" w:line="220" w:lineRule="auto"/>
    </w:pPr>
    <w:rPr>
      <w:rFonts w:ascii="Calibri" w:hAnsi="Calibri" w:eastAsia="Calibri" w:cs="Calibri"/>
      <w:color w:val="66545D"/>
      <w:sz w:val="16"/>
      <w:szCs w:val="1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2db8415d51449d8" /><Relationship Type="http://schemas.openxmlformats.org/officeDocument/2006/relationships/numbering" Target="/word/numbering.xml" Id="R3c347e501bed4ffe" /><Relationship Type="http://schemas.openxmlformats.org/officeDocument/2006/relationships/settings" Target="/word/settings.xml" Id="Rb125d0016b394853" /><Relationship Type="http://schemas.openxmlformats.org/officeDocument/2006/relationships/header" Target="/word/header1.xml" Id="Rbf542b0d11f244fc" /><Relationship Type="http://schemas.openxmlformats.org/officeDocument/2006/relationships/footer" Target="/word/footer1.xml" Id="R193d9bb345e24139" /><Relationship Type="http://schemas.openxmlformats.org/officeDocument/2006/relationships/header" Target="/word/header2.xml" Id="R68241a96f1ee4590" /><Relationship Type="http://schemas.openxmlformats.org/officeDocument/2006/relationships/footer" Target="/word/footer2.xml" Id="R22d60ae922d44f9b" /></Relationships>
</file>