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3"/>
        <w:ind w:left="709" w:firstLine="709"/>
        <w:jc w:val="right"/>
        <w:rPr>
          <w:b/>
          <w:sz w:val="24"/>
          <w:szCs w:val="24"/>
        </w:rPr>
      </w:pPr>
    </w:p>
    <w:p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>
      <w:pPr>
        <w:pStyle w:val="a3"/>
        <w:ind w:left="709" w:firstLine="709"/>
        <w:jc w:val="right"/>
        <w:rPr>
          <w:b/>
          <w:szCs w:val="28"/>
        </w:rPr>
      </w:pP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>
      <w:pPr>
        <w:pStyle w:val="a3"/>
        <w:ind w:left="4331" w:firstLine="709"/>
        <w:jc w:val="right"/>
        <w:rPr>
          <w:szCs w:val="28"/>
        </w:rPr>
      </w:pP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 П.Г. Ковальногов</w:t>
      </w:r>
    </w:p>
    <w:p>
      <w:pPr>
        <w:pStyle w:val="a3"/>
        <w:ind w:left="709" w:firstLine="709"/>
        <w:jc w:val="right"/>
        <w:rPr>
          <w:szCs w:val="28"/>
        </w:rPr>
      </w:pPr>
    </w:p>
    <w:p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114935</wp:posOffset>
                </wp:positionV>
                <wp:extent cx="6286500" cy="0"/>
                <wp:effectExtent l="19050" t="16510" r="19050" b="1206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05pt" to="48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" strokeweight="1.75pt"/>
            </w:pict>
          </mc:Fallback>
        </mc:AlternateConten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>
      <w:pPr>
        <w:ind w:left="18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79375</wp:posOffset>
                </wp:positionV>
                <wp:extent cx="6286500" cy="0"/>
                <wp:effectExtent l="19050" t="13970" r="19050" b="1460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25pt" to="48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UhEQ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" strokeweight="1.75pt"/>
            </w:pict>
          </mc:Fallback>
        </mc:AlternateContent>
      </w:r>
    </w:p>
    <w:p>
      <w:pPr>
        <w:ind w:left="180"/>
        <w:jc w:val="both"/>
        <w:rPr>
          <w:b/>
        </w:rPr>
      </w:pPr>
    </w:p>
    <w:p>
      <w:pPr>
        <w:ind w:left="180"/>
        <w:jc w:val="both"/>
        <w:rPr>
          <w:b/>
        </w:rPr>
      </w:pPr>
    </w:p>
    <w:p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550"/>
      </w:tblGrid>
      <w:tr>
        <w:tc>
          <w:tcPr>
            <w:tcW w:w="4696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>
        <w:tc>
          <w:tcPr>
            <w:tcW w:w="46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>
        <w:tc>
          <w:tcPr>
            <w:tcW w:w="4696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>
            <w:pPr>
              <w:jc w:val="both"/>
              <w:rPr>
                <w:b/>
                <w:sz w:val="28"/>
                <w:szCs w:val="28"/>
              </w:rPr>
            </w:pP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>
            <w:pPr>
              <w:jc w:val="both"/>
              <w:rPr>
                <w:sz w:val="28"/>
                <w:szCs w:val="28"/>
              </w:rPr>
            </w:pPr>
          </w:p>
        </w:tc>
      </w:tr>
      <w:tr>
        <w:tc>
          <w:tcPr>
            <w:tcW w:w="4696" w:type="dxa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  <w:p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>
        <w:tc>
          <w:tcPr>
            <w:tcW w:w="4696" w:type="dxa"/>
          </w:tcPr>
          <w:p>
            <w:pPr>
              <w:jc w:val="both"/>
            </w:pPr>
          </w:p>
        </w:tc>
        <w:tc>
          <w:tcPr>
            <w:tcW w:w="4672" w:type="dxa"/>
          </w:tcPr>
          <w:p>
            <w:pPr>
              <w:jc w:val="both"/>
            </w:pPr>
          </w:p>
        </w:tc>
      </w:tr>
    </w:tbl>
    <w:p>
      <w:pPr>
        <w:ind w:left="180"/>
        <w:jc w:val="both"/>
        <w:rPr>
          <w:b/>
        </w:rPr>
      </w:pPr>
    </w:p>
    <w:p>
      <w:pPr>
        <w:ind w:left="180"/>
        <w:jc w:val="both"/>
        <w:rPr>
          <w:b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</w:pPr>
      <w:r>
        <w:t>2019</w:t>
      </w:r>
    </w:p>
    <w:p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>
      <w:pPr>
        <w:pStyle w:val="a3"/>
        <w:ind w:left="180" w:right="-262" w:firstLine="540"/>
        <w:rPr>
          <w:szCs w:val="28"/>
        </w:rPr>
      </w:pP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Настоящее руководство по эксплуатации разработана в соответствии с СТО 7.5-077 и предназначается для руководства обслуживающему персоналу 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вышеприведенной системы.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возможные случаи аварии.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>
      <w:pPr>
        <w:pStyle w:val="a3"/>
        <w:ind w:right="-262"/>
        <w:rPr>
          <w:szCs w:val="28"/>
        </w:rPr>
      </w:pPr>
    </w:p>
    <w:p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>
      <w:pPr>
        <w:pStyle w:val="a3"/>
        <w:ind w:left="180" w:right="-262" w:firstLine="540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объединении”;</w:t>
      </w:r>
    </w:p>
    <w:p>
      <w:pPr>
        <w:pStyle w:val="a3"/>
        <w:ind w:left="180" w:right="-262" w:firstLine="540"/>
        <w:jc w:val="left"/>
        <w:rPr>
          <w:szCs w:val="28"/>
        </w:rPr>
      </w:pPr>
    </w:p>
    <w:p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>
      <w:pPr>
        <w:pStyle w:val="a3"/>
        <w:ind w:left="180" w:right="-262" w:firstLine="540"/>
        <w:jc w:val="left"/>
        <w:rPr>
          <w:szCs w:val="28"/>
        </w:rPr>
      </w:pPr>
    </w:p>
    <w:p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>
      <w:pPr>
        <w:ind w:left="181"/>
        <w:jc w:val="both"/>
        <w:rPr>
          <w:b/>
          <w:sz w:val="28"/>
          <w:szCs w:val="28"/>
        </w:rPr>
      </w:pPr>
    </w:p>
    <w:p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>
      <w:pPr>
        <w:pStyle w:val="ab"/>
        <w:ind w:left="1068"/>
        <w:rPr>
          <w:sz w:val="32"/>
          <w:szCs w:val="32"/>
        </w:rPr>
      </w:pPr>
    </w:p>
    <w:p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основных параметрах процесса;</w:t>
      </w:r>
    </w:p>
    <w:p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>
      <w:pPr>
        <w:jc w:val="center"/>
        <w:rPr>
          <w:lang w:val="en-US"/>
        </w:rPr>
      </w:pPr>
    </w:p>
    <w:p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121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1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Если указанное основное окно отсутствует на экране терминала, то его появление следует обеспечить нажатием клавиши </w:t>
      </w:r>
      <w:r>
        <w:rPr>
          <w:b/>
          <w:color w:val="FF0000"/>
          <w:sz w:val="28"/>
          <w:szCs w:val="28"/>
          <w:lang w:val="en-US"/>
        </w:rPr>
        <w:t>F</w:t>
      </w:r>
      <w:r>
        <w:rPr>
          <w:b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 xml:space="preserve"> на клавиатуре терминала.</w:t>
      </w:r>
      <w:r>
        <w:rPr>
          <w:sz w:val="28"/>
          <w:szCs w:val="28"/>
        </w:rPr>
        <w:br/>
        <w:t>Управление работой программы можно осуществлять непосредственно прикосновениями к сенсорными клавишам на экране или нажатиями клавиш на клавиатуре с соответствующими обозначениями, которые полностью дублируют сенсорную клавиатуру.</w:t>
      </w:r>
    </w:p>
    <w:p>
      <w:pPr>
        <w:jc w:val="center"/>
        <w:rPr>
          <w:sz w:val="28"/>
          <w:szCs w:val="28"/>
        </w:rPr>
      </w:pPr>
    </w:p>
    <w:p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>
      <w:pPr>
        <w:ind w:left="360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>
      <w:pPr>
        <w:ind w:left="705"/>
        <w:jc w:val="both"/>
        <w:rPr>
          <w:sz w:val="28"/>
          <w:szCs w:val="28"/>
        </w:rPr>
      </w:pP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>
      <w:pPr>
        <w:ind w:left="360"/>
        <w:jc w:val="both"/>
        <w:rPr>
          <w:sz w:val="28"/>
          <w:szCs w:val="28"/>
        </w:rPr>
      </w:pPr>
    </w:p>
    <w:p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Поле ввода отмечается  окантовкой зеленого цвета. Последовательный переход на следующее поле производится кнопкой  ►, на предыдущее ◄.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>
      <w:pPr>
        <w:rPr>
          <w:sz w:val="28"/>
          <w:szCs w:val="28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rPr>
          <w:b/>
          <w:sz w:val="32"/>
          <w:szCs w:val="32"/>
        </w:rPr>
      </w:pPr>
      <w:r>
        <w:rPr>
          <w:sz w:val="28"/>
          <w:szCs w:val="28"/>
        </w:rPr>
        <w:tab/>
        <w:t xml:space="preserve">Ввод данных завершается нажатием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готовности к плавке.</w:t>
      </w:r>
    </w:p>
    <w:p>
      <w:pPr>
        <w:rPr>
          <w:sz w:val="28"/>
          <w:szCs w:val="28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lastRenderedPageBreak/>
        <w:tab/>
      </w:r>
    </w:p>
    <w:p>
      <w:pPr>
        <w:ind w:firstLine="708"/>
        <w:rPr>
          <w:sz w:val="28"/>
          <w:szCs w:val="28"/>
        </w:rPr>
      </w:pPr>
    </w:p>
    <w:p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6190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90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both"/>
        <w:rPr>
          <w:sz w:val="28"/>
          <w:szCs w:val="28"/>
        </w:rPr>
      </w:pP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2.1.2 Переменным резистором на пульте управления устанавливаем скорость подачи стружки 8.0 - 11.0 кг/мин,  в том случае, когда нажатием клавиши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1 был включён ручной режим подачи, на что указывает красный цвет кнопки с надписью «Включён ручной режим [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1]» в нижнем ряду основного окна. </w:t>
      </w:r>
      <w:r>
        <w:rPr>
          <w:sz w:val="28"/>
          <w:szCs w:val="28"/>
        </w:rPr>
        <w:br/>
        <w:t xml:space="preserve">При включенном автоматическом режиме подачи стружки эта кнопка имеет зелёный цвет с соответствующей надписью. Автоматический режим включается повторным нажатием клавиши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, в таком случае скорость подачи стружки при выбранном автоматическом режиме определяется алгоритмом плавки.</w:t>
      </w:r>
    </w:p>
    <w:p>
      <w:pPr>
        <w:ind w:left="360"/>
        <w:jc w:val="both"/>
        <w:rPr>
          <w:sz w:val="28"/>
          <w:szCs w:val="28"/>
        </w:rPr>
      </w:pPr>
    </w:p>
    <w:p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>
      <w:pPr>
        <w:ind w:left="360"/>
        <w:jc w:val="both"/>
        <w:rPr>
          <w:sz w:val="28"/>
          <w:szCs w:val="28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</w:p>
    <w:p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3. Процесс плавки</w:t>
      </w:r>
    </w:p>
    <w:p>
      <w:pPr>
        <w:ind w:left="360"/>
        <w:jc w:val="both"/>
        <w:rPr>
          <w:sz w:val="28"/>
          <w:szCs w:val="28"/>
        </w:rPr>
      </w:pPr>
    </w:p>
    <w:p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68653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6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sz w:val="28"/>
          <w:szCs w:val="28"/>
        </w:rPr>
      </w:pPr>
      <w:r>
        <w:tab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возвращает режим паузы, ссыпка прекращается.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необходимую скорость подачи стружки в том случае, если скорость подачи стружки не определяется алгоритмом плавки и горит кнопка красного цвета в нижнем ряду с надписью «Включён ручной режим»</w:t>
      </w:r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выгрузки требуемого количества стружки и очистке нижнего лотка от оставшейся стружки (показания веса на лотке будут менее 1 кг), режим подачи стружки 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>
      <w:pPr>
        <w:ind w:firstLine="708"/>
        <w:jc w:val="both"/>
        <w:rPr>
          <w:sz w:val="28"/>
          <w:szCs w:val="28"/>
        </w:rPr>
      </w:pPr>
    </w:p>
    <w:p>
      <w:pPr>
        <w:ind w:left="181"/>
        <w:jc w:val="both"/>
        <w:rPr>
          <w:b/>
        </w:rPr>
      </w:pPr>
    </w:p>
    <w:p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>
      <w:pPr>
        <w:ind w:left="181"/>
        <w:jc w:val="both"/>
        <w:rPr>
          <w:b/>
          <w:sz w:val="28"/>
          <w:szCs w:val="28"/>
        </w:rPr>
      </w:pPr>
    </w:p>
    <w:p>
      <w:pPr>
        <w:ind w:left="181"/>
        <w:jc w:val="both"/>
        <w:rPr>
          <w:b/>
          <w:sz w:val="28"/>
          <w:szCs w:val="28"/>
        </w:rPr>
      </w:pPr>
    </w:p>
    <w:p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>Система автоматизированной подачи стружки, цеха 32, плавильного участка, ВДП №1. в случае возникновения аварийной ситуации для окружающей среды опасности не представляет.</w:t>
      </w:r>
    </w:p>
    <w:p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 оператора, которое выглядит следующим образом.</w:t>
      </w:r>
    </w:p>
    <w:p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1"/>
        <w:jc w:val="both"/>
      </w:pPr>
    </w:p>
    <w:p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окне демонстрируется список всех неисправностей, которые остались неподтверждёнными к моменту появления сообщения о текущей аварии.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клавиши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сообщение считается подтверждённым, этот факт фиксируется в электронном журнале аварий, и сообщение удаляется из списка неподтверждённых, всплывающее окно закрывается. Если нажать клавишу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, то стирается из памяти весь список неподтверждённых сообщений, всплывающее окно закрывается. Чтобы просто закрыть окно, не подтверждая сообщения, оставив список нетронутым, надо нажать клавишу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При нажатии клавиши </w:t>
      </w:r>
      <w:r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текущее сообщение остаётся в списке неподтверждённых.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 А цеха №32.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Если по каким-то причинам, произошло закрытие программы и появилось окно настройки панели, то оператору для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7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537"/>
      <w:docPartObj>
        <w:docPartGallery w:val="Page Numbers (Bottom of Page)"/>
        <w:docPartUnique/>
      </w:docPartObj>
    </w:sdtPr>
    <w:sdtContent>
      <w:p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 w15:restartNumberingAfterBreak="0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 w15:restartNumberingAfterBreak="0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 w15:restartNumberingAfterBreak="0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 w15:restartNumberingAfterBreak="0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 w15:restartNumberingAfterBreak="0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 w15:restartNumberingAfterBreak="0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 w15:restartNumberingAfterBreak="0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 w15:restartNumberingAfterBreak="0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 w15:restartNumberingAfterBreak="0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 w15:restartNumberingAfterBreak="0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 w15:restartNumberingAfterBreak="0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 w15:restartNumberingAfterBreak="0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B782E7-779D-4F7C-BB9D-9A768BCA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jc w:val="both"/>
    </w:pPr>
    <w:rPr>
      <w:sz w:val="28"/>
      <w:szCs w:val="20"/>
    </w:r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wordizme">
    <w:name w:val="Tword_izme"/>
    <w:basedOn w:val="a"/>
    <w:link w:val="TwordizmeChar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</w:style>
  <w:style w:type="paragraph" w:customStyle="1" w:styleId="Twordaddfieldheads">
    <w:name w:val="Tword_add_field_heads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head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Pr>
      <w:sz w:val="24"/>
      <w:szCs w:val="24"/>
    </w:rPr>
  </w:style>
  <w:style w:type="paragraph" w:styleId="ae">
    <w:name w:val="footer"/>
    <w:basedOn w:val="a"/>
    <w:link w:val="af"/>
    <w:uiPriority w:val="9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Pr>
      <w:sz w:val="28"/>
    </w:rPr>
  </w:style>
  <w:style w:type="paragraph" w:styleId="af0">
    <w:name w:val="List"/>
    <w:basedOn w:val="a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96950-8F4B-439E-8BAB-FC93D7E5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Козюра Алексей</cp:lastModifiedBy>
  <cp:revision>2</cp:revision>
  <cp:lastPrinted>2019-11-11T07:00:00Z</cp:lastPrinted>
  <dcterms:created xsi:type="dcterms:W3CDTF">2019-12-13T02:54:00Z</dcterms:created>
  <dcterms:modified xsi:type="dcterms:W3CDTF">2019-12-13T02:54:00Z</dcterms:modified>
</cp:coreProperties>
</file>