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3"/>
        <w:ind w:left="709" w:firstLine="709"/>
        <w:jc w:val="right"/>
        <w:rPr>
          <w:b/>
          <w:sz w:val="24"/>
          <w:szCs w:val="24"/>
        </w:rPr>
      </w:pPr>
    </w:p>
    <w:p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>
      <w:pPr>
        <w:pStyle w:val="a3"/>
        <w:ind w:left="709" w:firstLine="709"/>
        <w:jc w:val="right"/>
        <w:rPr>
          <w:b/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>
      <w:pPr>
        <w:pStyle w:val="a3"/>
        <w:ind w:left="4331" w:firstLine="709"/>
        <w:jc w:val="right"/>
        <w:rPr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>
      <w:pPr>
        <w:pStyle w:val="a3"/>
        <w:ind w:left="709" w:firstLine="709"/>
        <w:jc w:val="right"/>
        <w:rPr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>
      <w:pPr>
        <w:jc w:val="center"/>
        <w:rPr>
          <w:sz w:val="28"/>
          <w:szCs w:val="28"/>
        </w:rPr>
      </w:pPr>
      <w:r>
        <w:pict>
          <v:line id="_x0000_s1026" style="position:absolute;left:0;text-align:left;z-index:251660288" from="-9pt,9.05pt" to="486pt,9.05pt" strokeweight="1.75pt"/>
        </w:pic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>
      <w:pPr>
        <w:ind w:left="180"/>
        <w:jc w:val="both"/>
        <w:rPr>
          <w:b/>
        </w:rPr>
      </w:pPr>
      <w:r>
        <w:pict>
          <v:line id="_x0000_s1027" style="position:absolute;left:0;text-align:left;z-index:251661312" from="-9pt,6.25pt" to="486pt,6.25pt" strokeweight="1.75pt"/>
        </w:pict>
      </w:r>
    </w:p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72"/>
      </w:tblGrid>
      <w:tr>
        <w:tc>
          <w:tcPr>
            <w:tcW w:w="4696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>
        <w:tc>
          <w:tcPr>
            <w:tcW w:w="46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>
        <w:tc>
          <w:tcPr>
            <w:tcW w:w="4696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>
        <w:tc>
          <w:tcPr>
            <w:tcW w:w="4696" w:type="dxa"/>
          </w:tcPr>
          <w:p>
            <w:pPr>
              <w:jc w:val="both"/>
            </w:pPr>
          </w:p>
        </w:tc>
        <w:tc>
          <w:tcPr>
            <w:tcW w:w="4672" w:type="dxa"/>
          </w:tcPr>
          <w:p>
            <w:pPr>
              <w:jc w:val="both"/>
            </w:pPr>
          </w:p>
        </w:tc>
      </w:tr>
    </w:tbl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</w:pPr>
      <w:r>
        <w:t>2019</w:t>
      </w:r>
    </w:p>
    <w:p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>
      <w:pPr>
        <w:pStyle w:val="a3"/>
        <w:ind w:left="180" w:right="-262" w:firstLine="540"/>
        <w:rPr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Настоящее руководство по эксплуатации разработана в соответствии с СТО 7.5-077 и предназначается для руководства обслуживающему персоналу 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вышеприведенной системы.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возможные случаи аварии.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>
      <w:pPr>
        <w:pStyle w:val="a3"/>
        <w:ind w:right="-262"/>
        <w:rPr>
          <w:szCs w:val="28"/>
        </w:rPr>
      </w:pP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объединении”;</w:t>
      </w:r>
    </w:p>
    <w:p>
      <w:pPr>
        <w:pStyle w:val="a3"/>
        <w:ind w:left="180" w:right="-262" w:firstLine="540"/>
        <w:jc w:val="left"/>
        <w:rPr>
          <w:szCs w:val="28"/>
        </w:rPr>
      </w:pPr>
    </w:p>
    <w:p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>
      <w:pPr>
        <w:pStyle w:val="a3"/>
        <w:ind w:left="180" w:right="-262" w:firstLine="540"/>
        <w:jc w:val="left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>
      <w:pPr>
        <w:ind w:left="181"/>
        <w:jc w:val="both"/>
        <w:rPr>
          <w:b/>
          <w:sz w:val="28"/>
          <w:szCs w:val="28"/>
        </w:rPr>
      </w:pPr>
    </w:p>
    <w:p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>
      <w:pPr>
        <w:pStyle w:val="ab"/>
        <w:ind w:left="1068"/>
        <w:rPr>
          <w:sz w:val="32"/>
          <w:szCs w:val="32"/>
        </w:rPr>
      </w:pPr>
    </w:p>
    <w:p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основных параметрах процесса;</w:t>
      </w: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>
      <w:pPr>
        <w:jc w:val="center"/>
        <w:rPr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>
      <w:pPr>
        <w:ind w:left="36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>
      <w:pPr>
        <w:ind w:left="705"/>
        <w:jc w:val="both"/>
        <w:rPr>
          <w:sz w:val="28"/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>
      <w:pPr>
        <w:ind w:left="360"/>
        <w:jc w:val="both"/>
        <w:rPr>
          <w:sz w:val="28"/>
          <w:szCs w:val="28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Поле ввода отмечается  окантовкой зеленого цвета. Последовательный переход на следующее поле производится кнопкой  ►, на предыдущее ◄.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>
      <w:pPr>
        <w:rPr>
          <w:sz w:val="28"/>
          <w:szCs w:val="28"/>
        </w:rPr>
      </w:pP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sz w:val="28"/>
          <w:szCs w:val="28"/>
        </w:rPr>
        <w:tab/>
        <w:t xml:space="preserve">Ввод данных завершается нажатием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готовности к плавке.</w:t>
      </w:r>
    </w:p>
    <w:p>
      <w:pPr>
        <w:rPr>
          <w:sz w:val="28"/>
          <w:szCs w:val="28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ab/>
      </w:r>
    </w:p>
    <w:p>
      <w:pPr>
        <w:ind w:firstLine="708"/>
        <w:rPr>
          <w:sz w:val="28"/>
          <w:szCs w:val="28"/>
        </w:rPr>
      </w:pP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sz w:val="28"/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подачи стружки 8.0 - 11.0 кг/мин.</w:t>
      </w:r>
    </w:p>
    <w:p>
      <w:pPr>
        <w:ind w:left="360"/>
        <w:jc w:val="both"/>
        <w:rPr>
          <w:sz w:val="28"/>
          <w:szCs w:val="28"/>
        </w:rPr>
      </w:pP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>
      <w:pPr>
        <w:ind w:left="360"/>
        <w:jc w:val="both"/>
        <w:rPr>
          <w:sz w:val="28"/>
          <w:szCs w:val="28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3. Процесс плавки</w:t>
      </w:r>
    </w:p>
    <w:p>
      <w:pPr>
        <w:ind w:left="360"/>
        <w:jc w:val="both"/>
        <w:rPr>
          <w:sz w:val="28"/>
          <w:szCs w:val="28"/>
        </w:rPr>
      </w:pPr>
    </w:p>
    <w:p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sz w:val="28"/>
          <w:szCs w:val="28"/>
        </w:rPr>
      </w:pPr>
      <w:r>
        <w:tab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автоматического режима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возвращает режим паузы.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выгрузки требуемого количества стружки и очистке нижнего лотка от оставшейся стружки (показания веса на лотке будут менее 1 кг), режим автоматической подачи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>
      <w:pPr>
        <w:ind w:firstLine="708"/>
        <w:jc w:val="both"/>
        <w:rPr>
          <w:sz w:val="28"/>
          <w:szCs w:val="28"/>
        </w:rPr>
      </w:pPr>
    </w:p>
    <w:p>
      <w:pPr>
        <w:ind w:left="181"/>
        <w:jc w:val="both"/>
        <w:rPr>
          <w:b/>
        </w:rPr>
      </w:pPr>
    </w:p>
    <w:p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>
      <w:pPr>
        <w:ind w:left="181"/>
        <w:jc w:val="both"/>
        <w:rPr>
          <w:b/>
          <w:sz w:val="28"/>
          <w:szCs w:val="28"/>
        </w:rPr>
      </w:pPr>
    </w:p>
    <w:p>
      <w:pPr>
        <w:ind w:left="181"/>
        <w:jc w:val="both"/>
        <w:rPr>
          <w:b/>
          <w:sz w:val="28"/>
          <w:szCs w:val="28"/>
        </w:rPr>
      </w:pPr>
    </w:p>
    <w:p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>Система автоматизированной подачи стружки, цеха 32, плавильного участка, ВДП №1. в случае возникновения аварийной ситуации для окружающей среды опасности не представляет.</w:t>
      </w:r>
    </w:p>
    <w:p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lastRenderedPageBreak/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окне, оператора которое выглядит следующим образом.</w:t>
      </w:r>
    </w:p>
    <w:p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1"/>
        <w:jc w:val="both"/>
      </w:pPr>
    </w:p>
    <w:p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Если по каким-то причинам, произошло закрытие программы и появилось окно настройки панели оператора. Для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537"/>
      <w:docPartObj>
        <w:docPartGallery w:val="Page Numbers (Bottom of Page)"/>
        <w:docPartUnique/>
      </w:docPartObj>
    </w:sdtPr>
    <w:sdtContent>
      <w:p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 w15:restartNumberingAfterBreak="0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 w15:restartNumberingAfterBreak="0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 w15:restartNumberingAfterBreak="0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 w15:restartNumberingAfterBreak="0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 w15:restartNumberingAfterBreak="0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 w15:restartNumberingAfterBreak="0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 w15:restartNumberingAfterBreak="0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 w15:restartNumberingAfterBreak="0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 w15:restartNumberingAfterBreak="0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 w15:restartNumberingAfterBreak="0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 w15:restartNumberingAfterBreak="0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 w15:restartNumberingAfterBreak="0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6A4722C7-BF36-49A7-A5C2-8F193D54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jc w:val="both"/>
    </w:pPr>
    <w:rPr>
      <w:sz w:val="28"/>
      <w:szCs w:val="20"/>
    </w:r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ordizme">
    <w:name w:val="Tword_izme"/>
    <w:basedOn w:val="a"/>
    <w:link w:val="TwordizmeChar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</w:style>
  <w:style w:type="paragraph" w:customStyle="1" w:styleId="Twordaddfieldheads">
    <w:name w:val="Tword_add_field_heads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Pr>
      <w:sz w:val="24"/>
      <w:szCs w:val="24"/>
    </w:rPr>
  </w:style>
  <w:style w:type="paragraph" w:styleId="ae">
    <w:name w:val="footer"/>
    <w:basedOn w:val="a"/>
    <w:link w:val="af"/>
    <w:uiPriority w:val="9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Pr>
      <w:sz w:val="28"/>
    </w:rPr>
  </w:style>
  <w:style w:type="paragraph" w:styleId="af0">
    <w:name w:val="List"/>
    <w:basedOn w:val="a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8DED2-226B-4C78-82DA-58AECB40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Козюра Алексей</cp:lastModifiedBy>
  <cp:revision>11</cp:revision>
  <cp:lastPrinted>2019-11-11T07:00:00Z</cp:lastPrinted>
  <dcterms:created xsi:type="dcterms:W3CDTF">2019-10-25T09:47:00Z</dcterms:created>
  <dcterms:modified xsi:type="dcterms:W3CDTF">2019-12-12T03:52:00Z</dcterms:modified>
</cp:coreProperties>
</file>