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87E8B"/>
          <w:sz w:val="24"/>
        </w:rPr>
        <w:t>MindBridge</w:t>
      </w:r>
    </w:p>
    <w:p>
      <w:pPr>
        <w:pStyle w:val="Title"/>
      </w:pPr>
      <w:r>
        <w:t>Data Quality &amp; Product Analytics Audit</w:t>
      </w:r>
    </w:p>
    <w:p>
      <w:r>
        <w:rPr>
          <w:i/>
          <w:color w:val="5B697A"/>
          <w:sz w:val="22"/>
        </w:rPr>
        <w:t>Evidence-led review of data integrity, persistence, and session handling</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EAF5F6"/>
          </w:tcPr>
          <w:p>
            <w:pPr>
              <w:jc w:val="center"/>
            </w:pPr>
            <w:r/>
            <w:r>
              <w:rPr>
                <w:b/>
                <w:color w:val="087E8B"/>
                <w:sz w:val="36"/>
              </w:rPr>
              <w:t>96</w:t>
              <w:br/>
            </w:r>
            <w:r>
              <w:rPr>
                <w:color w:val="283444"/>
                <w:sz w:val="16"/>
              </w:rPr>
              <w:t>messages</w:t>
            </w:r>
          </w:p>
        </w:tc>
        <w:tc>
          <w:tcPr>
            <w:tcW w:type="dxa" w:w="2520"/>
            <w:vAlign w:val="center"/>
            <w:shd w:fill="EAF5F6"/>
          </w:tcPr>
          <w:p>
            <w:pPr>
              <w:jc w:val="center"/>
            </w:pPr>
            <w:r/>
            <w:r>
              <w:rPr>
                <w:b/>
                <w:color w:val="087E8B"/>
                <w:sz w:val="36"/>
              </w:rPr>
              <w:t>6</w:t>
              <w:br/>
            </w:r>
            <w:r>
              <w:rPr>
                <w:color w:val="283444"/>
                <w:sz w:val="16"/>
              </w:rPr>
              <w:t>sessions</w:t>
            </w:r>
          </w:p>
        </w:tc>
        <w:tc>
          <w:tcPr>
            <w:tcW w:type="dxa" w:w="2520"/>
            <w:vAlign w:val="center"/>
            <w:shd w:fill="EAF5F6"/>
          </w:tcPr>
          <w:p>
            <w:pPr>
              <w:jc w:val="center"/>
            </w:pPr>
            <w:r/>
            <w:r>
              <w:rPr>
                <w:b/>
                <w:color w:val="087E8B"/>
                <w:sz w:val="36"/>
              </w:rPr>
              <w:t>0</w:t>
              <w:br/>
            </w:r>
            <w:r>
              <w:rPr>
                <w:color w:val="283444"/>
                <w:sz w:val="16"/>
              </w:rPr>
              <w:t>missing message session IDs</w:t>
            </w:r>
          </w:p>
        </w:tc>
        <w:tc>
          <w:tcPr>
            <w:tcW w:type="dxa" w:w="2520"/>
            <w:vAlign w:val="center"/>
            <w:shd w:fill="EAF5F6"/>
          </w:tcPr>
          <w:p>
            <w:pPr>
              <w:jc w:val="center"/>
            </w:pPr>
            <w:r/>
            <w:r>
              <w:rPr>
                <w:b/>
                <w:color w:val="087E8B"/>
                <w:sz w:val="36"/>
              </w:rPr>
              <w:t>0</w:t>
              <w:br/>
            </w:r>
            <w:r>
              <w:rPr>
                <w:color w:val="283444"/>
                <w:sz w:val="16"/>
              </w:rPr>
              <w:t>orphaned session references</w:t>
            </w:r>
          </w:p>
        </w:tc>
      </w:tr>
    </w:tbl>
    <w:p>
      <w:pPr>
        <w:pStyle w:val="Heading1"/>
      </w:pPr>
      <w:r>
        <w:t>1. Project overview</w:t>
      </w:r>
    </w:p>
    <w:p>
      <w:r>
        <w:t>MindBridge is a CBT-support assistant with conversational support and features including a Thought Diary, mood tracking, a Sleep Journal, assessments, and a progress dashboard. This audit examined the consistency of stored records, session references, and selected user-facing behaviors using SQLite queries, Python scripts, Excel documentation, and manual functional checks.</w:t>
      </w:r>
    </w:p>
    <w:p>
      <w:r>
        <w:t>Audit objective: establish what the available evidence confirms, identify gaps that could affect trust in tracking and reporting, and prioritize follow-up validation.</w:t>
      </w:r>
    </w:p>
    <w:p>
      <w:pPr>
        <w:pStyle w:val="Heading1"/>
      </w:pPr>
      <w:r>
        <w:t>2. Scope and approach</w:t>
      </w:r>
    </w:p>
    <w:p>
      <w:r>
        <w:t>The review included message counts by session, missing message session IDs, references to known sessions, selected feature-table records, and observed UI behavior after saving and refreshing test entries. The database was queried read-only for the reported checks.</w:t>
      </w:r>
    </w:p>
    <w:p>
      <w:r>
        <w:t>Tables inspected: messages, sessions, mood_logs, thought_records, sleep_logs, activities, and tests. Six tables containing session_id values were checked for references to session IDs absent from the sessions table.</w:t>
      </w:r>
    </w:p>
    <w:p>
      <w:pPr>
        <w:pStyle w:val="Heading1"/>
      </w:pPr>
      <w:r>
        <w:t>3. Verified findings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Area</w:t>
            </w:r>
          </w:p>
        </w:tc>
        <w:tc>
          <w:tcPr>
            <w:tcW w:type="dxa" w:w="3360"/>
          </w:tcPr>
          <w:p>
            <w:r>
              <w:rPr>
                <w:b/>
              </w:rPr>
              <w:t>Evidence observed</w:t>
            </w:r>
          </w:p>
        </w:tc>
        <w:tc>
          <w:tcPr>
            <w:tcW w:type="dxa" w:w="3360"/>
          </w:tcPr>
          <w:p>
            <w:r>
              <w:rPr>
                <w:b/>
              </w:rPr>
              <w:t>Assessment</w:t>
            </w:r>
          </w:p>
        </w:tc>
      </w:tr>
      <w:tr>
        <w:tc>
          <w:tcPr>
            <w:tcW w:type="dxa" w:w="3360"/>
            <w:vAlign w:val="center"/>
          </w:tcPr>
          <w:p>
            <w:r>
              <w:t>Messages</w:t>
            </w:r>
          </w:p>
        </w:tc>
        <w:tc>
          <w:tcPr>
            <w:tcW w:type="dxa" w:w="3360"/>
            <w:vAlign w:val="center"/>
          </w:tcPr>
          <w:p>
            <w:r>
              <w:t>96 messages across 6 session IDs</w:t>
            </w:r>
          </w:p>
        </w:tc>
        <w:tc>
          <w:tcPr>
            <w:tcW w:type="dxa" w:w="3360"/>
            <w:vAlign w:val="center"/>
          </w:tcPr>
          <w:p>
            <w:r>
              <w:t>Counts successfully grouped by session</w:t>
            </w:r>
          </w:p>
        </w:tc>
      </w:tr>
      <w:tr>
        <w:tc>
          <w:tcPr>
            <w:tcW w:type="dxa" w:w="3360"/>
            <w:vAlign w:val="center"/>
          </w:tcPr>
          <w:p>
            <w:r>
              <w:t>Missing message session IDs</w:t>
            </w:r>
          </w:p>
        </w:tc>
        <w:tc>
          <w:tcPr>
            <w:tcW w:type="dxa" w:w="3360"/>
            <w:vAlign w:val="center"/>
          </w:tcPr>
          <w:p>
            <w:r>
              <w:t>0 records</w:t>
            </w:r>
          </w:p>
        </w:tc>
        <w:tc>
          <w:tcPr>
            <w:tcW w:type="dxa" w:w="3360"/>
            <w:vAlign w:val="center"/>
          </w:tcPr>
          <w:p>
            <w:r>
              <w:t>Pass for the checked messages table</w:t>
            </w:r>
          </w:p>
        </w:tc>
      </w:tr>
      <w:tr>
        <w:tc>
          <w:tcPr>
            <w:tcW w:type="dxa" w:w="3360"/>
            <w:vAlign w:val="center"/>
          </w:tcPr>
          <w:p>
            <w:r>
              <w:t>Unknown session references</w:t>
            </w:r>
          </w:p>
        </w:tc>
        <w:tc>
          <w:tcPr>
            <w:tcW w:type="dxa" w:w="3360"/>
            <w:vAlign w:val="center"/>
          </w:tcPr>
          <w:p>
            <w:r>
              <w:t>0 across 6 checked tables</w:t>
            </w:r>
          </w:p>
        </w:tc>
        <w:tc>
          <w:tcPr>
            <w:tcW w:type="dxa" w:w="3360"/>
            <w:vAlign w:val="center"/>
          </w:tcPr>
          <w:p>
            <w:r>
              <w:t>Referential consistency check passed</w:t>
            </w:r>
          </w:p>
        </w:tc>
      </w:tr>
      <w:tr>
        <w:tc>
          <w:tcPr>
            <w:tcW w:type="dxa" w:w="3360"/>
            <w:vAlign w:val="center"/>
          </w:tcPr>
          <w:p>
            <w:r>
              <w:t>Mood tracking</w:t>
            </w:r>
          </w:p>
        </w:tc>
        <w:tc>
          <w:tcPr>
            <w:tcW w:type="dxa" w:w="3360"/>
            <w:vAlign w:val="center"/>
          </w:tcPr>
          <w:p>
            <w:r>
              <w:t>1 record; score 10</w:t>
            </w:r>
          </w:p>
        </w:tc>
        <w:tc>
          <w:tcPr>
            <w:tcW w:type="dxa" w:w="3360"/>
            <w:vAlign w:val="center"/>
          </w:tcPr>
          <w:p>
            <w:r>
              <w:t>Record exists; same-session retrieval not fully verified</w:t>
            </w:r>
          </w:p>
        </w:tc>
      </w:tr>
      <w:tr>
        <w:tc>
          <w:tcPr>
            <w:tcW w:type="dxa" w:w="3360"/>
            <w:vAlign w:val="center"/>
          </w:tcPr>
          <w:p>
            <w:r>
              <w:t>Thought Diary</w:t>
            </w:r>
          </w:p>
        </w:tc>
        <w:tc>
          <w:tcPr>
            <w:tcW w:type="dxa" w:w="3360"/>
            <w:vAlign w:val="center"/>
          </w:tcPr>
          <w:p>
            <w:r>
              <w:t>1 record</w:t>
            </w:r>
          </w:p>
        </w:tc>
        <w:tc>
          <w:tcPr>
            <w:tcW w:type="dxa" w:w="3360"/>
            <w:vAlign w:val="center"/>
          </w:tcPr>
          <w:p>
            <w:r>
              <w:t>Record exists; UI remained visible after refresh; retrieval test incomplete</w:t>
            </w:r>
          </w:p>
        </w:tc>
      </w:tr>
      <w:tr>
        <w:tc>
          <w:tcPr>
            <w:tcW w:type="dxa" w:w="3360"/>
            <w:vAlign w:val="center"/>
          </w:tcPr>
          <w:p>
            <w:r>
              <w:t>Sleep Journal</w:t>
            </w:r>
          </w:p>
        </w:tc>
        <w:tc>
          <w:tcPr>
            <w:tcW w:type="dxa" w:w="3360"/>
            <w:vAlign w:val="center"/>
          </w:tcPr>
          <w:p>
            <w:r>
              <w:t>1 record; 9.0 hours; quality 9/10</w:t>
            </w:r>
          </w:p>
        </w:tc>
        <w:tc>
          <w:tcPr>
            <w:tcW w:type="dxa" w:w="3360"/>
            <w:vAlign w:val="center"/>
          </w:tcPr>
          <w:p>
            <w:r>
              <w:t>Record exists; UI remained visible after refresh; full-list sync unverified</w:t>
            </w:r>
          </w:p>
        </w:tc>
      </w:tr>
      <w:tr>
        <w:tc>
          <w:tcPr>
            <w:tcW w:type="dxa" w:w="3360"/>
            <w:vAlign w:val="center"/>
          </w:tcPr>
          <w:p>
            <w:r>
              <w:t>Assessments</w:t>
            </w:r>
          </w:p>
        </w:tc>
        <w:tc>
          <w:tcPr>
            <w:tcW w:type="dxa" w:w="3360"/>
            <w:vAlign w:val="center"/>
          </w:tcPr>
          <w:p>
            <w:r>
              <w:t>2 records: GAD-7 and Rosenberg</w:t>
            </w:r>
          </w:p>
        </w:tc>
        <w:tc>
          <w:tcPr>
            <w:tcW w:type="dxa" w:w="3360"/>
            <w:vAlign w:val="center"/>
          </w:tcPr>
          <w:p>
            <w:r>
              <w:t>Historical records exist; sync behavior not verified</w:t>
            </w:r>
          </w:p>
        </w:tc>
      </w:tr>
      <w:tr>
        <w:tc>
          <w:tcPr>
            <w:tcW w:type="dxa" w:w="3360"/>
            <w:vAlign w:val="center"/>
          </w:tcPr>
          <w:p>
            <w:r>
              <w:t>Activities</w:t>
            </w:r>
          </w:p>
        </w:tc>
        <w:tc>
          <w:tcPr>
            <w:tcW w:type="dxa" w:w="3360"/>
            <w:vAlign w:val="center"/>
          </w:tcPr>
          <w:p>
            <w:r>
              <w:t>0 records</w:t>
            </w:r>
          </w:p>
        </w:tc>
        <w:tc>
          <w:tcPr>
            <w:tcW w:type="dxa" w:w="3360"/>
            <w:vAlign w:val="center"/>
          </w:tcPr>
          <w:p>
            <w:r>
              <w:t>Persistence not tested; no dedicated page identified in the observed UI</w:t>
            </w:r>
          </w:p>
        </w:tc>
      </w:tr>
      <w:tr>
        <w:tc>
          <w:tcPr>
            <w:tcW w:type="dxa" w:w="3360"/>
            <w:vAlign w:val="center"/>
          </w:tcPr>
          <w:p>
            <w:r>
              <w:t>Session isolation</w:t>
            </w:r>
          </w:p>
        </w:tc>
        <w:tc>
          <w:tcPr>
            <w:tcW w:type="dxa" w:w="3360"/>
            <w:vAlign w:val="center"/>
          </w:tcPr>
          <w:p>
            <w:r>
              <w:t>6 sessions exist</w:t>
            </w:r>
          </w:p>
        </w:tc>
        <w:tc>
          <w:tcPr>
            <w:tcW w:type="dxa" w:w="3360"/>
            <w:vAlign w:val="center"/>
          </w:tcPr>
          <w:p>
            <w:r>
              <w:t>Cross-session read/access isolation not directly tested</w:t>
            </w:r>
          </w:p>
        </w:tc>
      </w:tr>
    </w:tbl>
    <w:p>
      <w:pPr>
        <w:pStyle w:val="Heading1"/>
      </w:pPr>
      <w:r>
        <w:t>4. Product issue requiring investigation</w:t>
      </w:r>
    </w:p>
    <w:p>
      <w:r>
        <w:rPr>
          <w:b/>
        </w:rPr>
        <w:t xml:space="preserve">Potential mood-score display mismatch: </w:t>
      </w:r>
      <w:r>
        <w:t>the calendar displayed a mood score of 10/5, while the user-entered score was 10/10 and the database stored a score of 10. The cause has not been established. It may involve display formatting, scale labeling, or data mapping; further tracing is required.</w:t>
      </w:r>
    </w:p>
    <w:p>
      <w:r>
        <w:t>Potential user impact: an inconsistent scale can confuse users and reduce confidence in mood history and progress reporting.</w:t>
      </w:r>
    </w:p>
    <w:p>
      <w:pPr>
        <w:pStyle w:val="Heading1"/>
      </w:pPr>
      <w:r>
        <w:t>5. Prioritized recommendations</w:t>
      </w:r>
    </w:p>
    <w:p>
      <w:pPr>
        <w:pStyle w:val="Heading2"/>
      </w:pPr>
      <w:r>
        <w:t>P1 — Validate mood-score rendering</w:t>
      </w:r>
    </w:p>
    <w:p>
      <w:r>
        <w:t>Trace the score from input through database storage to calendar rendering. Confirm the intended scale and denominator, then add tests for boundary values.</w:t>
      </w:r>
    </w:p>
    <w:p>
      <w:pPr>
        <w:pStyle w:val="Heading2"/>
      </w:pPr>
      <w:r>
        <w:t>P2 — Test session isolation</w:t>
      </w:r>
    </w:p>
    <w:p>
      <w:r>
        <w:t>Create distinguishable records in two sessions and verify that each session retrieves only its own records after session switching and New Chat.</w:t>
      </w:r>
    </w:p>
    <w:p>
      <w:pPr>
        <w:pStyle w:val="Heading2"/>
      </w:pPr>
      <w:r>
        <w:t>P3 — Complete feature persistence tests</w:t>
      </w:r>
    </w:p>
    <w:p>
      <w:r>
        <w:t>Verify create, retrieve, update, and refresh behavior for mood, thought, sleep, assessment history, and activities. Investigate why no activity rows were found.</w:t>
      </w:r>
    </w:p>
    <w:p>
      <w:pPr>
        <w:pStyle w:val="Heading2"/>
      </w:pPr>
      <w:r>
        <w:t>P4 — Reconcile dashboard metrics</w:t>
      </w:r>
    </w:p>
    <w:p>
      <w:r>
        <w:t>Compare dashboard and calendar values with validated database records. Check date windows, aggregation logic, and insufficient-data states.</w:t>
      </w:r>
    </w:p>
    <w:p>
      <w:pPr>
        <w:pStyle w:val="Heading1"/>
      </w:pPr>
      <w:r>
        <w:t>6. Proposed success metrics (targets, not measured results)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Proposed target</w:t>
            </w:r>
          </w:p>
        </w:tc>
      </w:tr>
      <w:tr>
        <w:tc>
          <w:tcPr>
            <w:tcW w:type="dxa" w:w="5040"/>
          </w:tcPr>
          <w:p>
            <w:r>
              <w:t>Messages with missing session IDs</w:t>
            </w:r>
          </w:p>
        </w:tc>
        <w:tc>
          <w:tcPr>
            <w:tcW w:type="dxa" w:w="5040"/>
          </w:tcPr>
          <w:p>
            <w:r>
              <w:t>0</w:t>
            </w:r>
          </w:p>
        </w:tc>
      </w:tr>
      <w:tr>
        <w:tc>
          <w:tcPr>
            <w:tcW w:type="dxa" w:w="5040"/>
          </w:tcPr>
          <w:p>
            <w:r>
              <w:t>Feature records referencing nonexistent sessions</w:t>
            </w:r>
          </w:p>
        </w:tc>
        <w:tc>
          <w:tcPr>
            <w:tcW w:type="dxa" w:w="5040"/>
          </w:tcPr>
          <w:p>
            <w:r>
              <w:t>0</w:t>
            </w:r>
          </w:p>
        </w:tc>
      </w:tr>
      <w:tr>
        <w:tc>
          <w:tcPr>
            <w:tcW w:type="dxa" w:w="5040"/>
          </w:tcPr>
          <w:p>
            <w:r>
              <w:t>Session-isolation test cases passed</w:t>
            </w:r>
          </w:p>
        </w:tc>
        <w:tc>
          <w:tcPr>
            <w:tcW w:type="dxa" w:w="5040"/>
          </w:tcPr>
          <w:p>
            <w:r>
              <w:t>100%</w:t>
            </w:r>
          </w:p>
        </w:tc>
      </w:tr>
      <w:tr>
        <w:tc>
          <w:tcPr>
            <w:tcW w:type="dxa" w:w="5040"/>
          </w:tcPr>
          <w:p>
            <w:r>
              <w:t>Saved test records retrievable after refresh</w:t>
            </w:r>
          </w:p>
        </w:tc>
        <w:tc>
          <w:tcPr>
            <w:tcW w:type="dxa" w:w="5040"/>
          </w:tcPr>
          <w:p>
            <w:r>
              <w:t>100%</w:t>
            </w:r>
          </w:p>
        </w:tc>
      </w:tr>
      <w:tr>
        <w:tc>
          <w:tcPr>
            <w:tcW w:type="dxa" w:w="5040"/>
          </w:tcPr>
          <w:p>
            <w:r>
              <w:t>Dashboard values matching validated source records</w:t>
            </w:r>
          </w:p>
        </w:tc>
        <w:tc>
          <w:tcPr>
            <w:tcW w:type="dxa" w:w="5040"/>
          </w:tcPr>
          <w:p>
            <w:r>
              <w:t>100%</w:t>
            </w:r>
          </w:p>
        </w:tc>
      </w:tr>
    </w:tbl>
    <w:p>
      <w:pPr>
        <w:pStyle w:val="Heading1"/>
      </w:pPr>
      <w:r>
        <w:t>7. Limitations and interpretation</w:t>
      </w:r>
    </w:p>
    <w:p>
      <w:r>
        <w:t>The checks establish the state of the database at the time of inspection; they do not prove complete application reliability. A zero orphan-reference count demonstrates that the checked records point to existing session IDs, but does not prove access isolation. The mood, thought, and sleep records were found in the database, while complete same-session retrieval and synchronization were not fully validated. Activity persistence was not tested. Assessment records were present, but their synchronization behavior was not verified. Clinical accuracy and assessment scoring were outside this audit's scope.</w:t>
      </w:r>
    </w:p>
    <w:p>
      <w:pPr>
        <w:pStyle w:val="Heading1"/>
      </w:pPr>
      <w:r>
        <w:t>8. Conclusion</w:t>
      </w:r>
    </w:p>
    <w:p>
      <w:r>
        <w:t>The initial audit found 96 messages across six sessions, no missing message session IDs, and no unknown session references across the six checked tables. Records were present for mood, thought, sleep, and assessments. The most actionable product issue is the potential mood-score display mismatch. Activity persistence, complete synchronization, and true cross-session isolation remain open validation items.</w:t>
      </w:r>
    </w:p>
    <w:p>
      <w:r>
        <w:t>The audit demonstrates an evidence-led product analytics workflow: define validation questions, inspect structured data, compare database evidence with observed UI behavior, document limitations, and prioritize product improvements.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MindBridge | Data Quality &amp; Product Analytics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sz w:val="16"/>
      </w:rPr>
      <w:t>MINDBRIDGE  /  PRODUCT ANALYTICS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2345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234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