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Planteamiento del Problema de Investigación</w:t>
      </w:r>
    </w:p>
    <w:p>
      <w:pPr>
        <w:pStyle w:val="First Paragraph"/>
      </w:pPr>
      <w:r>
        <w:rPr>
          <w:i/>
          <w:iCs/>
        </w:rPr>
        <w:t xml:space="preserve">Semillero de Investigación — Universidad del Norte</w:t>
      </w:r>
    </w:p>
    <w:bookmarkStart w:id="9" w:name="datos-generales"/>
    <w:p>
      <w:pPr>
        <w:pStyle w:val="Heading 2"/>
      </w:pPr>
      <w:r>
        <w:t xml:space="preserve">Datos generales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Programa</w:t>
            </w:r>
          </w:p>
        </w:tc>
        <w:tc>
          <w:tcPr/>
          <w:p>
            <w:pPr>
              <w:pStyle w:val="Compact"/>
            </w:pPr>
            <w:r>
              <w:t xml:space="preserve">Ingeniería de Sistemas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Línea propuesta</w:t>
            </w:r>
          </w:p>
        </w:tc>
        <w:tc>
          <w:tcPr/>
          <w:p>
            <w:pPr>
              <w:pStyle w:val="Compact"/>
            </w:pPr>
            <w:r>
              <w:t xml:space="preserve">Trazabilidad y control de calidad de datos aplicado a hidrografía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Tutor propuesto</w:t>
            </w:r>
          </w:p>
        </w:tc>
        <w:tc>
          <w:tcPr/>
          <w:p>
            <w:pPr>
              <w:pStyle w:val="Compact"/>
            </w:pPr>
            <w:r>
              <w:t xml:space="preserve">Prof. Marlon Alberto Piñeres Melo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Asesor de dominio (externo)</w:t>
            </w:r>
          </w:p>
        </w:tc>
        <w:tc>
          <w:tcPr/>
          <w:p>
            <w:pPr>
              <w:pStyle w:val="Compact"/>
            </w:pPr>
            <w:r>
              <w:t xml:space="preserve">Sebastien Jean Lucien Honda — Ingeniero Hidrógrafo Senior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v3 — árbol delimitado (2026-09-12), actualizado con validación cuantitativa del caso ancla (2026-09-14) y con datos de equipo/patch test/bar check (2026-09-19)</w:t>
            </w:r>
          </w:p>
        </w:tc>
      </w:tr>
    </w:tbl>
    <w:bookmarkEnd w:id="9"/>
    <w:bookmarkStart w:id="10" w:name="contexto"/>
    <w:p>
      <w:pPr>
        <w:pStyle w:val="Heading 2"/>
      </w:pPr>
      <w:r>
        <w:t xml:space="preserve">1. Contexto</w:t>
      </w:r>
    </w:p>
    <w:p>
      <w:pPr>
        <w:pStyle w:val="First Paragraph"/>
      </w:pPr>
      <w:r>
        <w:t xml:space="preserve">En un levantamiento batimétrico con embarcación (dragado, mantenimiento de</w:t>
      </w:r>
      <w:r>
        <w:t xml:space="preserve"> </w:t>
      </w:r>
      <w:r>
        <w:t xml:space="preserve">canal o muelle), la calidad del dato final depende de una cadena de</w:t>
      </w:r>
      <w:r>
        <w:t xml:space="preserve"> </w:t>
      </w:r>
      <w:r>
        <w:t xml:space="preserve">referencias geodésicas y verticales: punto de referencia, proyección</w:t>
      </w:r>
      <w:r>
        <w:t xml:space="preserve"> </w:t>
      </w:r>
      <w:r>
        <w:t xml:space="preserve">geodésica, altura, marea, offsets entre equipos, patch test y calibración</w:t>
      </w:r>
      <w:r>
        <w:t xml:space="preserve"> </w:t>
      </w:r>
      <w:r>
        <w:t xml:space="preserve">del sensor acústico (bar check). Cada eslabón de esta cadena introduce una</w:t>
      </w:r>
      <w:r>
        <w:t xml:space="preserve"> </w:t>
      </w:r>
      <w:r>
        <w:t xml:space="preserve">fuente potencial de error, y el error final reportado en la profundidad</w:t>
      </w:r>
      <w:r>
        <w:t xml:space="preserve"> </w:t>
      </w:r>
      <w:r>
        <w:t xml:space="preserve">medida es el resultado acumulado de todos ellos.</w:t>
      </w:r>
    </w:p>
    <w:p>
      <w:pPr>
        <w:pStyle w:val="Body Text"/>
      </w:pPr>
      <w:r>
        <w:t xml:space="preserve">El cálculo de ese error acumulado (Total Propagated Uncertainty, TPU) ya</w:t>
      </w:r>
      <w:r>
        <w:t xml:space="preserve"> </w:t>
      </w:r>
      <w:r>
        <w:t xml:space="preserve">está resuelto por el estándar IHO S-44 y por software comercial (CARIS</w:t>
      </w:r>
      <w:r>
        <w:t xml:space="preserve"> </w:t>
      </w:r>
      <w:r>
        <w:t xml:space="preserve">HIPS/SIPS, NaviModel/EIVA). El aporte de esta investigación</w:t>
      </w:r>
      <w:r>
        <w:t xml:space="preserve"> </w:t>
      </w:r>
      <w:r>
        <w:rPr>
          <w:b/>
          <w:bCs/>
        </w:rPr>
        <w:t xml:space="preserve">no es</w:t>
      </w:r>
      <w:r>
        <w:rPr>
          <w:b/>
          <w:bCs/>
        </w:rPr>
        <w:t xml:space="preserve"> </w:t>
      </w:r>
      <w:r>
        <w:rPr>
          <w:b/>
          <w:bCs/>
        </w:rPr>
        <w:t xml:space="preserve">recalcular el TPU</w:t>
      </w:r>
      <w:r>
        <w:t xml:space="preserve">, sino construir la capa de verificación y trazabilidad</w:t>
      </w:r>
      <w:r>
        <w:t xml:space="preserve"> </w:t>
      </w:r>
      <w:r>
        <w:t xml:space="preserve">que confirma si los insumos de ese cálculo —patch test, bar check, chequeo</w:t>
      </w:r>
      <w:r>
        <w:t xml:space="preserve"> </w:t>
      </w:r>
      <w:r>
        <w:t xml:space="preserve">de marea, offsets— realmente se ejecutaron y se registraron de forma</w:t>
      </w:r>
      <w:r>
        <w:t xml:space="preserve"> </w:t>
      </w:r>
      <w:r>
        <w:t xml:space="preserve">auditable.</w:t>
      </w:r>
    </w:p>
    <w:p>
      <w:pPr>
        <w:pStyle w:val="Body Text"/>
      </w:pPr>
      <w:r>
        <w:t xml:space="preserve">Según la experiencia directa del asesor de dominio, esa verificación se</w:t>
      </w:r>
      <w:r>
        <w:t xml:space="preserve"> </w:t>
      </w:r>
      <w:r>
        <w:t xml:space="preserve">realiza hoy de forma manual y depende del criterio y disciplina de cada</w:t>
      </w:r>
      <w:r>
        <w:t xml:space="preserve"> </w:t>
      </w:r>
      <w:r>
        <w:t xml:space="preserve">profesional. Los sistemas de navegación y adquisición habituales (p. ej.</w:t>
      </w:r>
      <w:r>
        <w:t xml:space="preserve"> </w:t>
      </w:r>
      <w:r>
        <w:t xml:space="preserve">IPAC) no integran ni registran el cumplimiento de la cadena completa: solo</w:t>
      </w:r>
      <w:r>
        <w:t xml:space="preserve"> </w:t>
      </w:r>
      <w:r>
        <w:t xml:space="preserve">verifican partes aisladas (como el bar check del equipo).</w:t>
      </w:r>
    </w:p>
    <w:bookmarkEnd w:id="10"/>
    <w:bookmarkStart w:id="12" w:name="planteamiento-del-problema"/>
    <w:p>
      <w:pPr>
        <w:pStyle w:val="Heading 2"/>
      </w:pPr>
      <w:r>
        <w:t xml:space="preserve">2. Planteamiento del problema</w:t>
      </w:r>
    </w:p>
    <w:p>
      <w:pPr>
        <w:pStyle w:val="First Paragraph"/>
      </w:pPr>
      <w:r>
        <w:t xml:space="preserve">Cuando se omite o se ejecuta incorrectamente alguno de los chequeos de</w:t>
      </w:r>
      <w:r>
        <w:t xml:space="preserve"> </w:t>
      </w:r>
      <w:r>
        <w:t xml:space="preserve">esta cadena, el error resultante puede no detectarse durante la operación</w:t>
      </w:r>
      <w:r>
        <w:t xml:space="preserve"> </w:t>
      </w:r>
      <w:r>
        <w:t xml:space="preserve">y solo hacerse evidente tiempo después, cuando ya generó consecuencias</w:t>
      </w:r>
      <w:r>
        <w:t xml:space="preserve"> </w:t>
      </w:r>
      <w:r>
        <w:t xml:space="preserve">operativas y de responsabilidad profesional.</w:t>
      </w:r>
    </w:p>
    <w:bookmarkStart w:id="11" w:name="X04ce399be02601c28b65b2714fc1ff3e01770ed"/>
    <w:p>
      <w:pPr>
        <w:pStyle w:val="Heading 3"/>
      </w:pPr>
      <w:r>
        <w:t xml:space="preserve">Caso ancla: discrepancia de marea en un proyecto de dragado en Indonesia</w:t>
      </w:r>
    </w:p>
    <w:p>
      <w:pPr>
        <w:pStyle w:val="First Paragraph"/>
      </w:pPr>
      <w:r>
        <w:t xml:space="preserve">El asesor de dominio detectó una discrepancia de 15-20 cm entre su</w:t>
      </w:r>
      <w:r>
        <w:t xml:space="preserve"> </w:t>
      </w:r>
      <w:r>
        <w:t xml:space="preserve">profundidad medida (con RTK) y la profundidad reportada por la draga (con</w:t>
      </w:r>
      <w:r>
        <w:t xml:space="preserve"> </w:t>
      </w:r>
      <w:r>
        <w:t xml:space="preserve">su propio sistema de marea). La confirmación tardó aproximadamente una</w:t>
      </w:r>
      <w:r>
        <w:t xml:space="preserve"> </w:t>
      </w:r>
      <w:r>
        <w:t xml:space="preserve">semana y media, y llegó por un canal externo: inconsistencias en el</w:t>
      </w:r>
      <w:r>
        <w:t xml:space="preserve"> </w:t>
      </w:r>
      <w:r>
        <w:t xml:space="preserve">volumen dragado reportadas por el cliente.</w:t>
      </w:r>
    </w:p>
    <w:p>
      <w:pPr>
        <w:pStyle w:val="Body Text"/>
      </w:pPr>
      <w:r>
        <w:rPr>
          <w:b/>
          <w:bCs/>
        </w:rPr>
        <w:t xml:space="preserve">Validación cuantitativa (datos reales de las dos batimetrías, ~19.500</w:t>
      </w:r>
      <w:r>
        <w:rPr>
          <w:b/>
          <w:bCs/>
        </w:rPr>
        <w:t xml:space="preserve"> </w:t>
      </w:r>
      <w:r>
        <w:rPr>
          <w:b/>
          <w:bCs/>
        </w:rPr>
        <w:t xml:space="preserve">puntos comparados):</w:t>
      </w:r>
      <w:r>
        <w:t xml:space="preserve"> </w:t>
      </w:r>
      <w:r>
        <w:t xml:space="preserve">diferencia media de 16.3 cm (mediana 16.7 cm),</w:t>
      </w:r>
      <w:r>
        <w:t xml:space="preserve"> </w:t>
      </w:r>
      <w:r>
        <w:t xml:space="preserve">desviación estándar de solo 4.3 cm — 91.8% de los puntos entre 10 y 25 cm</w:t>
      </w:r>
      <w:r>
        <w:t xml:space="preserve"> </w:t>
      </w:r>
      <w:r>
        <w:t xml:space="preserve">de diferencia. Una desviación estándar tan baja es la firma de un</w:t>
      </w:r>
      <w:r>
        <w:t xml:space="preserve"> </w:t>
      </w:r>
      <w:r>
        <w:rPr>
          <w:b/>
          <w:bCs/>
        </w:rPr>
        <w:t xml:space="preserve">desfase sistemático</w:t>
      </w:r>
      <w:r>
        <w:t xml:space="preserve"> </w:t>
      </w:r>
      <w:r>
        <w:t xml:space="preserve">(offset vertical), no de ruido puntual del sensor.</w:t>
      </w:r>
    </w:p>
    <w:p>
      <w:pPr>
        <w:pStyle w:val="Body Text"/>
      </w:pPr>
      <w:r>
        <w:rPr>
          <w:b/>
          <w:bCs/>
        </w:rPr>
        <w:t xml:space="preserve">Causa raíz confirmada:</w:t>
      </w:r>
      <w:r>
        <w:t xml:space="preserve"> </w:t>
      </w:r>
      <w:r>
        <w:t xml:space="preserve">el RTK del hidrógrafo y el sistema de marea de</w:t>
      </w:r>
      <w:r>
        <w:t xml:space="preserve"> </w:t>
      </w:r>
      <w:r>
        <w:t xml:space="preserve">la draga estaban, por diseño, referenciados al mismo datum vertical (LAT</w:t>
      </w:r>
      <w:r>
        <w:t xml:space="preserve"> </w:t>
      </w:r>
      <w:r>
        <w:t xml:space="preserve">del puerto) — no fue un problema de datums distintos. El desfase ocurrió</w:t>
      </w:r>
      <w:r>
        <w:t xml:space="preserve"> </w:t>
      </w:r>
      <w:r>
        <w:t xml:space="preserve">porque nadie verificó, durante la operación, que esa calibración</w:t>
      </w:r>
      <w:r>
        <w:t xml:space="preserve"> </w:t>
      </w:r>
      <w:r>
        <w:t xml:space="preserve">compartida se hubiera ejecutado correctamente en ambos sistemas: los dos</w:t>
      </w:r>
      <w:r>
        <w:t xml:space="preserve"> </w:t>
      </w:r>
      <w:r>
        <w:t xml:space="preserve">midieron el mismo fondo marino sin cruzarse ni validarse entre sí.</w:t>
      </w:r>
    </w:p>
    <w:p>
      <w:pPr>
        <w:pStyle w:val="Body Text"/>
      </w:pPr>
      <w:r>
        <w:t xml:space="preserve">Como resume el propio hidrógrafo consultado:</w:t>
      </w:r>
      <w:r>
        <w:t xml:space="preserve"> </w:t>
      </w:r>
      <w:r>
        <w:rPr>
          <w:i/>
          <w:iCs/>
        </w:rPr>
        <w:t xml:space="preserve">“si tú haces todos los</w:t>
      </w:r>
      <w:r>
        <w:rPr>
          <w:i/>
          <w:iCs/>
        </w:rPr>
        <w:t xml:space="preserve"> </w:t>
      </w:r>
      <w:r>
        <w:rPr>
          <w:i/>
          <w:iCs/>
        </w:rPr>
        <w:t xml:space="preserve">chequeos previos que se necesitan para controlar tu error, ese error nunca</w:t>
      </w:r>
      <w:r>
        <w:rPr>
          <w:i/>
          <w:iCs/>
        </w:rPr>
        <w:t xml:space="preserve"> </w:t>
      </w:r>
      <w:r>
        <w:rPr>
          <w:i/>
          <w:iCs/>
        </w:rPr>
        <w:t xml:space="preserve">llega”</w:t>
      </w:r>
      <w:r>
        <w:t xml:space="preserve"> </w:t>
      </w:r>
      <w:r>
        <w:t xml:space="preserve">— el error de Indonesia era evitable mediante la verificación</w:t>
      </w:r>
      <w:r>
        <w:t xml:space="preserve"> </w:t>
      </w:r>
      <w:r>
        <w:t xml:space="preserve">estándar, que simplemente no se cruzó ni se registró de forma auditable.</w:t>
      </w:r>
    </w:p>
    <w:bookmarkEnd w:id="11"/>
    <w:bookmarkEnd w:id="12"/>
    <w:bookmarkStart w:id="13" w:name="vacío-identificado"/>
    <w:p>
      <w:pPr>
        <w:pStyle w:val="Heading 2"/>
      </w:pPr>
      <w:r>
        <w:t xml:space="preserve">3. Vacío identificado</w:t>
      </w:r>
    </w:p>
    <w:p>
      <w:pPr>
        <w:pStyle w:val="Compact"/>
        <w:numPr>
          <w:ilvl w:val="0"/>
          <w:numId w:val="1001"/>
        </w:numPr>
      </w:pPr>
      <w:r>
        <w:t xml:space="preserve">No existe, según reporta el asesor de dominio, un sistema integrado que</w:t>
      </w:r>
      <w:r>
        <w:t xml:space="preserve"> </w:t>
      </w:r>
      <w:r>
        <w:t xml:space="preserve">registre de forma trazable (log auditable) la ejecución de cada chequeo</w:t>
      </w:r>
      <w:r>
        <w:t xml:space="preserve"> </w:t>
      </w:r>
      <w:r>
        <w:t xml:space="preserve">de la cadena de referencia vertical.</w:t>
      </w:r>
    </w:p>
    <w:p>
      <w:pPr>
        <w:pStyle w:val="Compact"/>
        <w:numPr>
          <w:ilvl w:val="0"/>
          <w:numId w:val="1001"/>
        </w:numPr>
      </w:pPr>
      <w:r>
        <w:t xml:space="preserve">Los sistemas de navegación/adquisición habituales verifican partes</w:t>
      </w:r>
      <w:r>
        <w:t xml:space="preserve"> </w:t>
      </w:r>
      <w:r>
        <w:t xml:space="preserve">aisladas de la cadena, no su ejecución completa.</w:t>
      </w:r>
    </w:p>
    <w:p>
      <w:pPr>
        <w:pStyle w:val="Compact"/>
        <w:numPr>
          <w:ilvl w:val="0"/>
          <w:numId w:val="1001"/>
        </w:numPr>
      </w:pPr>
      <w:r>
        <w:t xml:space="preserve">Cuando coexisten fuentes de referencia independientes (p. ej. el RTK del</w:t>
      </w:r>
      <w:r>
        <w:t xml:space="preserve"> </w:t>
      </w:r>
      <w:r>
        <w:t xml:space="preserve">hidrógrafo y el sistema de marea de la draga), no hay mecanismo de</w:t>
      </w:r>
      <w:r>
        <w:t xml:space="preserve"> </w:t>
      </w:r>
      <w:r>
        <w:t xml:space="preserve">verificación cruzada entre ellas durante la operación — el caso ancla</w:t>
      </w:r>
      <w:r>
        <w:t xml:space="preserve"> </w:t>
      </w:r>
      <w:r>
        <w:t xml:space="preserve">muestra que esto ocurre incluso cuando, sobre el papel, ambas fuentes</w:t>
      </w:r>
      <w:r>
        <w:t xml:space="preserve"> </w:t>
      </w:r>
      <w:r>
        <w:t xml:space="preserve">comparten el mismo datum.</w:t>
      </w:r>
    </w:p>
    <w:p>
      <w:pPr>
        <w:pStyle w:val="First Paragraph"/>
      </w:pPr>
      <w:r>
        <w:rPr>
          <w:i/>
          <w:iCs/>
        </w:rPr>
        <w:t xml:space="preserve">(Fuera de este vacío: el cálculo del error propagado esperado — TPU — ya</w:t>
      </w:r>
      <w:r>
        <w:rPr>
          <w:i/>
          <w:iCs/>
        </w:rPr>
        <w:t xml:space="preserve"> </w:t>
      </w:r>
      <w:r>
        <w:rPr>
          <w:i/>
          <w:iCs/>
        </w:rPr>
        <w:t xml:space="preserve">está resuelto por el estándar IHO S-44 y por software comercial; no es un</w:t>
      </w:r>
      <w:r>
        <w:rPr>
          <w:i/>
          <w:iCs/>
        </w:rPr>
        <w:t xml:space="preserve"> </w:t>
      </w:r>
      <w:r>
        <w:rPr>
          <w:i/>
          <w:iCs/>
        </w:rPr>
        <w:t xml:space="preserve">vacío que esta investigación deba llenar.)</w:t>
      </w:r>
    </w:p>
    <w:p>
      <w:pPr>
        <w:pStyle w:val="Body Text"/>
      </w:pPr>
      <w:r>
        <w:rPr>
          <w:b/>
          <w:bCs/>
        </w:rPr>
        <w:t xml:space="preserve">Nota — verificación independiente del vacío (2026-09-14):</w:t>
      </w:r>
      <w:r>
        <w:t xml:space="preserve"> </w:t>
      </w:r>
      <w:r>
        <w:t xml:space="preserve">lo anterior</w:t>
      </w:r>
      <w:r>
        <w:t xml:space="preserve"> </w:t>
      </w:r>
      <w:r>
        <w:t xml:space="preserve">no se sostiene solo en el reporte del asesor de dominio. Se hizo una</w:t>
      </w:r>
      <w:r>
        <w:t xml:space="preserve"> </w:t>
      </w:r>
      <w:r>
        <w:t xml:space="preserve">búsqueda de estado del arte sobre el software más cercano al problema</w:t>
      </w:r>
      <w:r>
        <w:t xml:space="preserve"> </w:t>
      </w:r>
      <w:r>
        <w:t xml:space="preserve">(HydrOffice QC Tools, versión activa 4.10.5; qa4mbes) y sobre literatura</w:t>
      </w:r>
      <w:r>
        <w:t xml:space="preserve"> </w:t>
      </w:r>
      <w:r>
        <w:t xml:space="preserve">reciente (</w:t>
      </w:r>
      <w:r>
        <w:rPr>
          <w:i/>
          <w:iCs/>
        </w:rPr>
        <w:t xml:space="preserve">International Hydrographic Review</w:t>
      </w:r>
      <w:r>
        <w:t xml:space="preserve">, dic. 2025). El resultado</w:t>
      </w:r>
      <w:r>
        <w:t xml:space="preserve"> </w:t>
      </w:r>
      <w:r>
        <w:t xml:space="preserve">coincide con lo que reporta el asesor: ese software hace control de</w:t>
      </w:r>
      <w:r>
        <w:t xml:space="preserve"> </w:t>
      </w:r>
      <w:r>
        <w:t xml:space="preserve">calidad</w:t>
      </w:r>
      <w:r>
        <w:t xml:space="preserve"> </w:t>
      </w:r>
      <w:r>
        <w:rPr>
          <w:b/>
          <w:bCs/>
        </w:rPr>
        <w:t xml:space="preserve">de los datos ya adquiridos</w:t>
      </w:r>
      <w:r>
        <w:t xml:space="preserve"> </w:t>
      </w:r>
      <w:r>
        <w:t xml:space="preserve">(detecta picos anómalos en la</w:t>
      </w:r>
      <w:r>
        <w:t xml:space="preserve"> </w:t>
      </w:r>
      <w:r>
        <w:t xml:space="preserve">batimetría procesada, valida cumplimiento de especificación), no registra</w:t>
      </w:r>
      <w:r>
        <w:t xml:space="preserve"> </w:t>
      </w:r>
      <w:r>
        <w:t xml:space="preserve">si un chequeo de la cadena (patch test, bar check, cruce de marea) se</w:t>
      </w:r>
      <w:r>
        <w:t xml:space="preserve"> </w:t>
      </w:r>
      <w:r>
        <w:t xml:space="preserve">ejecutó durante la operación, ni compara fuentes de referencia</w:t>
      </w:r>
      <w:r>
        <w:t xml:space="preserve"> </w:t>
      </w:r>
      <w:r>
        <w:t xml:space="preserve">independientes en tiempo real. Detalle completo de la búsqueda en</w:t>
      </w:r>
      <w:r>
        <w:t xml:space="preserve"> </w:t>
      </w:r>
      <w:r>
        <w:rPr>
          <w:rStyle w:val="Verbatim Char"/>
        </w:rPr>
        <w:t xml:space="preserve">referencias/usadas.md</w:t>
      </w:r>
      <w:r>
        <w:t xml:space="preserve"> </w:t>
      </w:r>
      <w:r>
        <w:t xml:space="preserve">(repositorio del proyecto).</w:t>
      </w:r>
    </w:p>
    <w:bookmarkEnd w:id="13"/>
    <w:bookmarkStart w:id="14" w:name="alcance-delimitado-fase-1"/>
    <w:p>
      <w:pPr>
        <w:pStyle w:val="Heading 2"/>
      </w:pPr>
      <w:r>
        <w:t xml:space="preserve">4. Alcance delimitado (fase 1)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Incluye:</w:t>
      </w:r>
      <w:r>
        <w:t xml:space="preserve"> </w:t>
      </w:r>
      <w:r>
        <w:t xml:space="preserve">levantamientos batimétricos con embarcación (dragado,</w:t>
      </w:r>
      <w:r>
        <w:t xml:space="preserve"> </w:t>
      </w:r>
      <w:r>
        <w:t xml:space="preserve">mantenimiento de canal/muelle), con ecosonda mono/multihaz.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incluye en esta fase:</w:t>
      </w:r>
      <w:r>
        <w:t xml:space="preserve"> </w:t>
      </w:r>
      <w:r>
        <w:t xml:space="preserve">estructuras fijas de alta precisión (p. ej.</w:t>
      </w:r>
      <w:r>
        <w:t xml:space="preserve"> </w:t>
      </w:r>
      <w:r>
        <w:t xml:space="preserve">cimentaciones offshore, medidas con estación total — física de error</w:t>
      </w:r>
      <w:r>
        <w:t xml:space="preserve"> </w:t>
      </w:r>
      <w:r>
        <w:t xml:space="preserve">distinta, angular/rotacional en vez de vertical); cálculo de error</w:t>
      </w:r>
      <w:r>
        <w:t xml:space="preserve"> </w:t>
      </w:r>
      <w:r>
        <w:t xml:space="preserve">propagado/TPU (ya resuelto); sistema de detección de anomalías con ML.</w:t>
      </w:r>
    </w:p>
    <w:p>
      <w:pPr>
        <w:pStyle w:val="First Paragraph"/>
      </w:pPr>
      <w:r>
        <w:t xml:space="preserve">Motivo del recorte: cubrir batimetría y estructuras fijas a la vez</w:t>
      </w:r>
      <w:r>
        <w:t xml:space="preserve"> </w:t>
      </w:r>
      <w:r>
        <w:t xml:space="preserve">duplicaría el modelo de error sin caber en el tiempo disponible de un</w:t>
      </w:r>
      <w:r>
        <w:t xml:space="preserve"> </w:t>
      </w:r>
      <w:r>
        <w:t xml:space="preserve">semestre de semillero (ver bitácora de decisiones, 2026-09-05).</w:t>
      </w:r>
    </w:p>
    <w:bookmarkEnd w:id="14"/>
    <w:bookmarkStart w:id="15" w:name="pregunta-de-investigación"/>
    <w:p>
      <w:pPr>
        <w:pStyle w:val="Heading 2"/>
      </w:pPr>
      <w:r>
        <w:t xml:space="preserve">5. Pregunta de investigación</w:t>
      </w:r>
    </w:p>
    <w:p>
      <w:pPr>
        <w:pStyle w:val="Block Text"/>
      </w:pPr>
      <w:r>
        <w:t xml:space="preserve">¿Se puede diseñar un sistema que registre y verifique de forma trazable</w:t>
      </w:r>
      <w:r>
        <w:t xml:space="preserve"> </w:t>
      </w:r>
      <w:r>
        <w:t xml:space="preserve">—mediante un log auditable— la ejecución del checklist base de</w:t>
      </w:r>
      <w:r>
        <w:t xml:space="preserve"> </w:t>
      </w:r>
      <w:r>
        <w:t xml:space="preserve">referencia geodésica (punto de referencia, proyección, altura, marea,</w:t>
      </w:r>
      <w:r>
        <w:t xml:space="preserve"> </w:t>
      </w:r>
      <w:r>
        <w:t xml:space="preserve">offsets, patch test, bar check) en levantamientos batimétricos con</w:t>
      </w:r>
      <w:r>
        <w:t xml:space="preserve"> </w:t>
      </w:r>
      <w:r>
        <w:t xml:space="preserve">embarcación, de modo que las discrepancias entre fuentes de referencia</w:t>
      </w:r>
      <w:r>
        <w:t xml:space="preserve"> </w:t>
      </w:r>
      <w:r>
        <w:t xml:space="preserve">independientes —como la ocurrida en el caso de Indonesia— se detecten</w:t>
      </w:r>
      <w:r>
        <w:t xml:space="preserve"> </w:t>
      </w:r>
      <w:r>
        <w:t xml:space="preserve">durante la operación y no días o semanas después?</w:t>
      </w:r>
    </w:p>
    <w:bookmarkEnd w:id="15"/>
    <w:bookmarkStart w:id="16" w:name="objetivo-general"/>
    <w:p>
      <w:pPr>
        <w:pStyle w:val="Heading 2"/>
      </w:pPr>
      <w:r>
        <w:t xml:space="preserve">6. Objetivo general</w:t>
      </w:r>
    </w:p>
    <w:p>
      <w:pPr>
        <w:pStyle w:val="First Paragraph"/>
      </w:pPr>
      <w:r>
        <w:t xml:space="preserve">Diseñar un sistema de apoyo a la verificación y trazabilidad del checklist</w:t>
      </w:r>
      <w:r>
        <w:t xml:space="preserve"> </w:t>
      </w:r>
      <w:r>
        <w:t xml:space="preserve">de referencia geodésica en levantamientos hidrográficos batimétricos con</w:t>
      </w:r>
      <w:r>
        <w:t xml:space="preserve"> </w:t>
      </w:r>
      <w:r>
        <w:t xml:space="preserve">embarcación, que registre de forma auditable la ejecución de cada chequeo</w:t>
      </w:r>
      <w:r>
        <w:t xml:space="preserve"> </w:t>
      </w:r>
      <w:r>
        <w:t xml:space="preserve">y permita detectar oportunamente discrepancias entre fuentes de referencia</w:t>
      </w:r>
      <w:r>
        <w:t xml:space="preserve"> </w:t>
      </w:r>
      <w:r>
        <w:t xml:space="preserve">independientes.</w:t>
      </w:r>
    </w:p>
    <w:bookmarkEnd w:id="16"/>
    <w:bookmarkStart w:id="17" w:name="objetivos-específicos"/>
    <w:p>
      <w:pPr>
        <w:pStyle w:val="Heading 2"/>
      </w:pPr>
      <w:r>
        <w:t xml:space="preserve">7. Objetivos específicos</w:t>
      </w:r>
    </w:p>
    <w:p>
      <w:pPr>
        <w:pStyle w:val="Compact"/>
        <w:numPr>
          <w:ilvl w:val="0"/>
          <w:numId w:val="1003"/>
        </w:numPr>
      </w:pPr>
      <w:r>
        <w:t xml:space="preserve">Caracterizar, con apoyo del asesor de dominio, el checklist estándar de</w:t>
      </w:r>
      <w:r>
        <w:t xml:space="preserve"> </w:t>
      </w:r>
      <w:r>
        <w:t xml:space="preserve">verificación geodésica para batimetría con embarcación y sus</w:t>
      </w:r>
      <w:r>
        <w:t xml:space="preserve"> </w:t>
      </w:r>
      <w:r>
        <w:t xml:space="preserve">tolerancias esperadas.</w:t>
      </w:r>
    </w:p>
    <w:p>
      <w:pPr>
        <w:pStyle w:val="Compact"/>
        <w:numPr>
          <w:ilvl w:val="0"/>
          <w:numId w:val="1003"/>
        </w:numPr>
      </w:pPr>
      <w:r>
        <w:t xml:space="preserve">Diseñar un modelo de trazabilidad (log auditable) que registre la</w:t>
      </w:r>
      <w:r>
        <w:t xml:space="preserve"> </w:t>
      </w:r>
      <w:r>
        <w:t xml:space="preserve">ejecución de cada chequeo frente a su tolerancia y frente a las demás</w:t>
      </w:r>
      <w:r>
        <w:t xml:space="preserve"> </w:t>
      </w:r>
      <w:r>
        <w:t xml:space="preserve">fuentes de referencia disponibles.</w:t>
      </w:r>
    </w:p>
    <w:p>
      <w:pPr>
        <w:pStyle w:val="Compact"/>
        <w:numPr>
          <w:ilvl w:val="0"/>
          <w:numId w:val="1003"/>
        </w:numPr>
      </w:pPr>
      <w:r>
        <w:t xml:space="preserve">Desarrollar un prototipo que implemente este modelo de trazabilidad.</w:t>
      </w:r>
    </w:p>
    <w:p>
      <w:pPr>
        <w:pStyle w:val="Compact"/>
        <w:numPr>
          <w:ilvl w:val="0"/>
          <w:numId w:val="1003"/>
        </w:numPr>
      </w:pPr>
      <w:r>
        <w:t xml:space="preserve">Validar el prototipo de forma retrospectiva con el caso de Indonesia y,</w:t>
      </w:r>
      <w:r>
        <w:t xml:space="preserve"> </w:t>
      </w:r>
      <w:r>
        <w:t xml:space="preserve">si es posible, con especificaciones o datos adicionales aportados por</w:t>
      </w:r>
      <w:r>
        <w:t xml:space="preserve"> </w:t>
      </w:r>
      <w:r>
        <w:t xml:space="preserve">el asesor de dominio.</w:t>
      </w:r>
    </w:p>
    <w:p>
      <w:pPr>
        <w:pStyle w:val="First Paragraph"/>
      </w:pPr>
      <w:r>
        <w:rPr>
          <w:i/>
          <w:iCs/>
        </w:rPr>
        <w:t xml:space="preserve">(Fuera del alcance de estos objetivos, posible trabajo futuro: que el</w:t>
      </w:r>
      <w:r>
        <w:rPr>
          <w:i/>
          <w:iCs/>
        </w:rPr>
        <w:t xml:space="preserve"> </w:t>
      </w:r>
      <w:r>
        <w:rPr>
          <w:i/>
          <w:iCs/>
        </w:rPr>
        <w:t xml:space="preserve">sistema adapte automáticamente el conjunto de chequeos exigidos según el</w:t>
      </w:r>
      <w:r>
        <w:rPr>
          <w:i/>
          <w:iCs/>
        </w:rPr>
        <w:t xml:space="preserve"> </w:t>
      </w:r>
      <w:r>
        <w:rPr>
          <w:i/>
          <w:iCs/>
        </w:rPr>
        <w:t xml:space="preserve">tipo de proyecto/equipo. Es una extensión razonable, pero añade una capa</w:t>
      </w:r>
      <w:r>
        <w:rPr>
          <w:i/>
          <w:iCs/>
        </w:rPr>
        <w:t xml:space="preserve"> </w:t>
      </w:r>
      <w:r>
        <w:rPr>
          <w:i/>
          <w:iCs/>
        </w:rPr>
        <w:t xml:space="preserve">de reglas que no es necesaria para validar la pregunta central y arriesga</w:t>
      </w:r>
      <w:r>
        <w:rPr>
          <w:i/>
          <w:iCs/>
        </w:rPr>
        <w:t xml:space="preserve"> </w:t>
      </w:r>
      <w:r>
        <w:rPr>
          <w:i/>
          <w:iCs/>
        </w:rPr>
        <w:t xml:space="preserve">el cronograma de un año de semillero.)</w:t>
      </w:r>
    </w:p>
    <w:bookmarkEnd w:id="17"/>
    <w:bookmarkStart w:id="18" w:name="recursos-y-viabilidad"/>
    <w:p>
      <w:pPr>
        <w:pStyle w:val="Heading 2"/>
      </w:pPr>
      <w:r>
        <w:t xml:space="preserve">8. Recursos y viabilidad</w:t>
      </w:r>
    </w:p>
    <w:p>
      <w:pPr>
        <w:pStyle w:val="First Paragraph"/>
      </w:pPr>
      <w:r>
        <w:t xml:space="preserve">Se cuenta con acceso directo a un Ingeniero Hidrógrafo Senior en ejercicio</w:t>
      </w:r>
      <w:r>
        <w:t xml:space="preserve"> </w:t>
      </w:r>
      <w:r>
        <w:t xml:space="preserve">(asesor externo de dominio), que ya aportó:</w:t>
      </w:r>
    </w:p>
    <w:p>
      <w:pPr>
        <w:pStyle w:val="Compact"/>
        <w:numPr>
          <w:ilvl w:val="0"/>
          <w:numId w:val="1004"/>
        </w:numPr>
      </w:pPr>
      <w:r>
        <w:t xml:space="preserve">El relato confirmado y contextualizado del caso ancla (entrevista y</w:t>
      </w:r>
      <w:r>
        <w:t xml:space="preserve"> </w:t>
      </w:r>
      <w:r>
        <w:t xml:space="preserve">seguimiento por mensajes de texto).</w:t>
      </w:r>
    </w:p>
    <w:p>
      <w:pPr>
        <w:pStyle w:val="Compact"/>
        <w:numPr>
          <w:ilvl w:val="0"/>
          <w:numId w:val="1004"/>
        </w:numPr>
      </w:pPr>
      <w:r>
        <w:t xml:space="preserve">Los datos crudos (XYZ) de las dos batimetrías del caso, con validación</w:t>
      </w:r>
      <w:r>
        <w:t xml:space="preserve"> </w:t>
      </w:r>
      <w:r>
        <w:t xml:space="preserve">cuantitativa ya realizada (~19.500 puntos comparados).</w:t>
      </w:r>
    </w:p>
    <w:p>
      <w:pPr>
        <w:pStyle w:val="Compact"/>
        <w:numPr>
          <w:ilvl w:val="0"/>
          <w:numId w:val="1004"/>
        </w:numPr>
      </w:pPr>
      <w:r>
        <w:t xml:space="preserve">Confirmación de que ambos sistemas de referencia compartían el mismo</w:t>
      </w:r>
      <w:r>
        <w:t xml:space="preserve"> </w:t>
      </w:r>
      <w:r>
        <w:t xml:space="preserve">datum (LAT del puerto), lo que descarta la hipótesis de</w:t>
      </w:r>
      <w:r>
        <w:t xml:space="preserve"> </w:t>
      </w:r>
      <w:r>
        <w:t xml:space="preserve">“datums</w:t>
      </w:r>
      <w:r>
        <w:t xml:space="preserve"> </w:t>
      </w:r>
      <w:r>
        <w:t xml:space="preserve">distintos”</w:t>
      </w:r>
      <w:r>
        <w:t xml:space="preserve"> </w:t>
      </w:r>
      <w:r>
        <w:t xml:space="preserve">y confirma la causa como falta de verificación cruzada.</w:t>
      </w:r>
    </w:p>
    <w:p>
      <w:pPr>
        <w:pStyle w:val="First Paragraph"/>
      </w:pPr>
      <w:r>
        <w:rPr>
          <w:b/>
          <w:bCs/>
        </w:rPr>
        <w:t xml:space="preserve">Pendiente para completar la validación retrospectiva (objetivo</w:t>
      </w:r>
      <w:r>
        <w:rPr>
          <w:b/>
          <w:bCs/>
        </w:rPr>
        <w:t xml:space="preserve"> </w:t>
      </w:r>
      <w:r>
        <w:rPr>
          <w:b/>
          <w:bCs/>
        </w:rPr>
        <w:t xml:space="preserve">específico 4):</w:t>
      </w:r>
      <w:r>
        <w:t xml:space="preserve"> </w:t>
      </w:r>
      <w:r>
        <w:t xml:space="preserve">las hojas de especificación de los equipos usados en el</w:t>
      </w:r>
      <w:r>
        <w:t xml:space="preserve"> </w:t>
      </w:r>
      <w:r>
        <w:t xml:space="preserve">caso Indonesia (ecosonda, RTK/GPS) — sin ellas, la validación del</w:t>
      </w:r>
      <w:r>
        <w:t xml:space="preserve"> </w:t>
      </w:r>
      <w:r>
        <w:t xml:space="preserve">prototipo tiene datos reales de la discrepancia, pero no el detalle</w:t>
      </w:r>
      <w:r>
        <w:t xml:space="preserve"> </w:t>
      </w:r>
      <w:r>
        <w:t xml:space="preserve">técnico completo de los instrumentos que la generaron.</w:t>
      </w:r>
    </w:p>
    <w:p>
      <w:pPr>
        <w:pStyle w:val="Body Text"/>
      </w:pPr>
      <w:r>
        <w:t xml:space="preserve">Para la validación del prototipo se propone un enfoque escalonado: caso</w:t>
      </w:r>
      <w:r>
        <w:t xml:space="preserve"> </w:t>
      </w:r>
      <w:r>
        <w:t xml:space="preserve">histórico documentado (Indonesia) en una primera fase, con posibilidad de</w:t>
      </w:r>
      <w:r>
        <w:t xml:space="preserve"> </w:t>
      </w:r>
      <w:r>
        <w:t xml:space="preserve">datos o revisión adicional del asesor de dominio en una fase posterior.</w:t>
      </w:r>
    </w:p>
    <w:bookmarkEnd w:id="18"/>
    <w:sectPr>
      <w:type w:val="nextPage"/>
      <w:pgSz w:h="15840" w:w="12240"/>
      <w:pgMar w:bottom="1440" w:footer="720" w:gutter="0" w:header="720" w:left="1440" w:right="1440" w:top="1440"/>
      <w:pgNumType w:fmt="Arabic"/>
      <w:pgBorders/>
      <w:footnotePr>
        <w:pos w:val="pageBottom"/>
        <w:numFmt w:val="decimal"/>
        <w:numRestart w:val="eachSect"/>
        <w:numStart w:val="1"/>
      </w:footnotePr>
      <w:endnotePr>
        <w:pos w:val="docEnd"/>
        <w:numFmt w:val="lowerRoman"/>
        <w:numRestart w:val="continuous"/>
        <w:numStart w:val="1"/>
      </w:end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1">
    <w:nsid w:val="A991"/>
    <w:lvl w:ilvl="0">
      <w:start w:val="0"/>
      <w:numFmt w:val="bullet"/>
      <w:suff w:val="tab"/>
      <w:lvlText w:val=""/>
      <w:pPr>
        <w:pBdr/>
        <w:spacing/>
        <w:ind w:hanging="360" w:left="720"/>
      </w:pPr>
      <w:rPr>
        <w:rFonts w:ascii="Symbol" w:cs="Symbol" w:hAnsi="Symbol" w:hint="default"/>
      </w:rPr>
    </w:lvl>
    <w:lvl w:ilvl="1">
      <w:start w:val="0"/>
      <w:numFmt w:val="bullet"/>
      <w:suff w:val="tab"/>
      <w:lvlText w:val="o"/>
      <w:pPr>
        <w:pBdr/>
        <w:spacing/>
        <w:ind w:hanging="360" w:left="1440"/>
      </w:pPr>
      <w:rPr>
        <w:rFonts w:ascii="Courier New" w:cs="Courier New" w:hAnsi="Courier New" w:hint="default"/>
      </w:rPr>
    </w:lvl>
    <w:lvl w:ilvl="2">
      <w:start w:val="0"/>
      <w:numFmt w:val="bullet"/>
      <w:suff w:val="tab"/>
      <w:lvlText w:val=""/>
      <w:pPr>
        <w:pBdr/>
        <w:spacing/>
        <w:ind w:hanging="360" w:left="2160"/>
      </w:pPr>
      <w:rPr>
        <w:rFonts w:ascii="Wingdings" w:cs="Wingdings" w:hAnsi="Wingdings" w:hint="default"/>
      </w:rPr>
    </w:lvl>
    <w:lvl w:ilvl="3">
      <w:start w:val="0"/>
      <w:numFmt w:val="bullet"/>
      <w:suff w:val="tab"/>
      <w:lvlText w:val=""/>
      <w:pPr>
        <w:pBdr/>
        <w:spacing/>
        <w:ind w:hanging="360" w:left="2880"/>
      </w:pPr>
      <w:rPr>
        <w:rFonts w:ascii="Symbol" w:cs="Symbol" w:hAnsi="Symbol" w:hint="default"/>
      </w:rPr>
    </w:lvl>
    <w:lvl w:ilvl="4">
      <w:start w:val="0"/>
      <w:numFmt w:val="bullet"/>
      <w:suff w:val="tab"/>
      <w:lvlText w:val="o"/>
      <w:pPr>
        <w:pBdr/>
        <w:spacing/>
        <w:ind w:hanging="360" w:left="3600"/>
      </w:pPr>
      <w:rPr>
        <w:rFonts w:ascii="Courier New" w:cs="Courier New" w:hAnsi="Courier New" w:hint="default"/>
      </w:rPr>
    </w:lvl>
    <w:lvl w:ilvl="5">
      <w:start w:val="0"/>
      <w:numFmt w:val="bullet"/>
      <w:suff w:val="tab"/>
      <w:lvlText w:val=""/>
      <w:pPr>
        <w:pBdr/>
        <w:spacing/>
        <w:ind w:hanging="360" w:left="4320"/>
      </w:pPr>
      <w:rPr>
        <w:rFonts w:ascii="Wingdings" w:cs="Wingdings" w:hAnsi="Wingdings" w:hint="default"/>
      </w:rPr>
    </w:lvl>
    <w:lvl w:ilvl="6">
      <w:start w:val="0"/>
      <w:numFmt w:val="bullet"/>
      <w:suff w:val="tab"/>
      <w:lvlText w:val=""/>
      <w:pPr>
        <w:pBdr/>
        <w:spacing/>
        <w:ind w:hanging="360" w:left="5040"/>
      </w:pPr>
      <w:rPr>
        <w:rFonts w:ascii="Symbol" w:cs="Symbol" w:hAnsi="Symbol" w:hint="default"/>
      </w:rPr>
    </w:lvl>
    <w:lvl w:ilvl="7">
      <w:start w:val="0"/>
      <w:numFmt w:val="bullet"/>
      <w:suff w:val="tab"/>
      <w:lvlText w:val="o"/>
      <w:pPr>
        <w:pBdr/>
        <w:spacing/>
        <w:ind w:hanging="360" w:left="5760"/>
      </w:pPr>
      <w:rPr>
        <w:rFonts w:ascii="Courier New" w:cs="Courier New" w:hAnsi="Courier New" w:hint="default"/>
      </w:rPr>
    </w:lvl>
    <w:lvl w:ilvl="8">
      <w:start w:val="0"/>
      <w:numFmt w:val="bullet"/>
      <w:suff w:val="tab"/>
      <w:lvlText w:val=""/>
      <w:pPr>
        <w:pBdr/>
        <w:spacing/>
        <w:ind w:hanging="360" w:left="6480"/>
      </w:pPr>
      <w:rPr>
        <w:rFonts w:ascii="Wingdings" w:cs="Wingdings" w:hAnsi="Wingdings" w:hint="default"/>
      </w:rPr>
    </w:lvl>
  </w:abstractNum>
  <w:abstractNum w:abstractNumId="2">
    <w:nsid w:val="A99411"/>
    <w:lvl w:ilvl="0">
      <w:start w:val="1"/>
      <w:numFmt w:val="decimal"/>
      <w:suff w:val="tab"/>
      <w:lvlText w:val="%1."/>
      <w:pPr>
        <w:pBdr/>
        <w:spacing/>
        <w:ind w:hanging="360" w:left="720"/>
      </w:pPr>
      <w:rPr/>
    </w:lvl>
    <w:lvl w:ilvl="1">
      <w:start w:val="1"/>
      <w:numFmt w:val="decimal"/>
      <w:suff w:val="tab"/>
      <w:lvlText w:val="%2."/>
      <w:pPr>
        <w:pBdr/>
        <w:spacing/>
        <w:ind w:hanging="360" w:left="1440"/>
      </w:pPr>
      <w:rPr/>
    </w:lvl>
    <w:lvl w:ilvl="2">
      <w:start w:val="1"/>
      <w:numFmt w:val="decimal"/>
      <w:suff w:val="tab"/>
      <w:lvlText w:val="%3."/>
      <w:pPr>
        <w:pBdr/>
        <w:spacing/>
        <w:ind w:hanging="360" w:left="2160"/>
      </w:pPr>
      <w:rPr/>
    </w:lvl>
    <w:lvl w:ilvl="3">
      <w:start w:val="1"/>
      <w:numFmt w:val="decimal"/>
      <w:suff w:val="tab"/>
      <w:lvlText w:val="%4."/>
      <w:pPr>
        <w:pBdr/>
        <w:spacing/>
        <w:ind w:hanging="360" w:left="2880"/>
      </w:pPr>
      <w:rPr/>
    </w:lvl>
    <w:lvl w:ilvl="4">
      <w:start w:val="1"/>
      <w:numFmt w:val="decimal"/>
      <w:suff w:val="tab"/>
      <w:lvlText w:val="%5."/>
      <w:pPr>
        <w:pBdr/>
        <w:spacing/>
        <w:ind w:hanging="360" w:left="3600"/>
      </w:pPr>
      <w:rPr/>
    </w:lvl>
    <w:lvl w:ilvl="5">
      <w:start w:val="1"/>
      <w:numFmt w:val="decimal"/>
      <w:suff w:val="tab"/>
      <w:lvlText w:val="%6."/>
      <w:pPr>
        <w:pBdr/>
        <w:spacing/>
        <w:ind w:hanging="360" w:left="4320"/>
      </w:pPr>
      <w:rPr/>
    </w:lvl>
    <w:lvl w:ilvl="6">
      <w:start w:val="1"/>
      <w:numFmt w:val="decimal"/>
      <w:suff w:val="tab"/>
      <w:lvlText w:val="%7."/>
      <w:pPr>
        <w:pBdr/>
        <w:spacing/>
        <w:ind w:hanging="360" w:left="5040"/>
      </w:pPr>
      <w:rPr/>
    </w:lvl>
    <w:lvl w:ilvl="7">
      <w:start w:val="1"/>
      <w:numFmt w:val="decimal"/>
      <w:suff w:val="tab"/>
      <w:lvlText w:val="%8."/>
      <w:pPr>
        <w:pBdr/>
        <w:spacing/>
        <w:ind w:hanging="360" w:left="5760"/>
      </w:pPr>
      <w:rPr/>
    </w:lvl>
    <w:lvl w:ilvl="8">
      <w:start w:val="1"/>
      <w:numFmt w:val="decimal"/>
      <w:suff w:val="tab"/>
      <w:lvlText w:val="%9."/>
      <w:pPr>
        <w:pBdr/>
        <w:spacing/>
        <w:ind w:hanging="360" w:left="6480"/>
      </w:pPr>
      <w:rPr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2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 w:val="none"/>
  <w:displayBackgroundShape/>
  <w:embedSystemFonts/>
  <w:proofState w:grammar="clean" w:spelling="clean"/>
  <w:stylePaneFormatFilter w:val="0004"/>
  <w:doNotTrackMoves/>
  <w:documentProtection w:cryptAlgorithmClass="hash" w:cryptAlgorithmSid="14" w:cryptAlgorithmType="typeAny" w:cryptProviderType="rsaAES" w:cryptSpinCount="10000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EastAsia" w:hAnsiTheme="minorHAnsi"/>
        <w:sz w:val="24"/>
        <w:szCs w:val="24"/>
      </w:rPr>
    </w:rPrDefault>
    <w:pPrDefault>
      <w:pPr>
        <w:pBdr/>
        <w:spacing w:after="200"/>
        <w:ind/>
      </w:pPr>
    </w:pPrDefault>
  </w:docDefaults>
  <w:style w:styleId="Normal" w:type="paragraph">
    <w:name w:val="Normal"/>
    <w:next w:val="Normal"/>
    <w:pPr>
      <w:pBdr/>
      <w:spacing/>
      <w:ind/>
    </w:pPr>
    <w:rPr/>
  </w:style>
  <w:style w:styleId="Heading 1" w:type="paragraph">
    <w:name w:val="Heading 1"/>
    <w:basedOn w:val="Normal"/>
    <w:link w:val="Heading 1 Char"/>
    <w:pPr>
      <w:pBdr/>
      <w:keepNext/>
      <w:keepLines/>
      <w:outlineLvl w:val="0"/>
      <w:spacing w:after="80" w:before="360"/>
      <w:ind/>
    </w:pPr>
    <w:rPr>
      <w:rFonts w:asciiTheme="majorHAnsi" w:cstheme="majorBidi" w:eastAsiaTheme="majorEastAsia" w:hAnsiTheme="majorHAnsi"/>
      <w:color w:val="0F4761"/>
      <w:sz w:val="40"/>
      <w:szCs w:val="40"/>
    </w:rPr>
  </w:style>
  <w:style w:styleId="Heading 1 Char" w:type="character">
    <w:name w:val="Heading 1 Char"/>
    <w:basedOn w:val="Default Paragraph Font"/>
    <w:rPr>
      <w:rFonts w:asciiTheme="majorHAnsi" w:cstheme="majorBidi" w:eastAsiaTheme="majorEastAsia" w:hAnsiTheme="majorHAnsi"/>
      <w:color w:val="0F4761"/>
      <w:sz w:val="40"/>
      <w:szCs w:val="40"/>
    </w:rPr>
  </w:style>
  <w:style w:styleId="Default Paragraph Font" w:type="character">
    <w:name w:val="Default Paragraph Font"/>
    <w:rPr/>
  </w:style>
  <w:style w:styleId="Body Text" w:type="paragraph">
    <w:name w:val="Body Text"/>
    <w:basedOn w:val="Normal"/>
    <w:next w:val="Body Text"/>
    <w:pPr>
      <w:pBdr/>
      <w:spacing w:after="180" w:before="180"/>
      <w:ind/>
    </w:pPr>
    <w:rPr/>
  </w:style>
  <w:style w:styleId="Heading 2" w:type="paragraph">
    <w:name w:val="Heading 2"/>
    <w:basedOn w:val="Normal"/>
    <w:next w:val="Body Text"/>
    <w:link w:val="Heading 2 Char"/>
    <w:pPr>
      <w:pBdr/>
      <w:keepNext/>
      <w:keepLines/>
      <w:outlineLvl w:val="1"/>
      <w:spacing w:after="80" w:before="160"/>
      <w:ind/>
    </w:pPr>
    <w:rPr>
      <w:rFonts w:asciiTheme="majorHAnsi" w:cstheme="majorBidi" w:eastAsiaTheme="majorEastAsia" w:hAnsiTheme="majorHAnsi"/>
      <w:color w:val="0F4761"/>
      <w:sz w:val="32"/>
      <w:szCs w:val="32"/>
    </w:rPr>
  </w:style>
  <w:style w:styleId="Heading 2 Char" w:type="character">
    <w:name w:val="Heading 2 Char"/>
    <w:basedOn w:val="Default Paragraph Font"/>
    <w:rPr>
      <w:rFonts w:asciiTheme="majorHAnsi" w:cstheme="majorBidi" w:eastAsiaTheme="majorEastAsia" w:hAnsiTheme="majorHAnsi"/>
      <w:color w:val="0F4761"/>
      <w:sz w:val="32"/>
      <w:szCs w:val="32"/>
    </w:rPr>
  </w:style>
  <w:style w:styleId="Heading 3" w:type="paragraph">
    <w:name w:val="Heading 3"/>
    <w:basedOn w:val="Normal"/>
    <w:next w:val="Body Text"/>
    <w:link w:val="Heading 3 Char"/>
    <w:pPr>
      <w:pBdr/>
      <w:keepNext/>
      <w:keepLines/>
      <w:outlineLvl w:val="2"/>
      <w:spacing w:after="80" w:before="160"/>
      <w:ind/>
    </w:pPr>
    <w:rPr>
      <w:rFonts w:cstheme="majorBidi" w:eastAsiaTheme="majorEastAsia"/>
      <w:color w:val="0F4761"/>
      <w:sz w:val="28"/>
      <w:szCs w:val="28"/>
    </w:rPr>
  </w:style>
  <w:style w:styleId="Heading 3 Char" w:type="character">
    <w:name w:val="Heading 3 Char"/>
    <w:basedOn w:val="Default Paragraph Font"/>
    <w:rPr>
      <w:rFonts w:cstheme="majorBidi" w:eastAsiaTheme="majorEastAsia"/>
      <w:color w:val="0F4761"/>
      <w:sz w:val="28"/>
      <w:szCs w:val="28"/>
    </w:rPr>
  </w:style>
  <w:style w:styleId="Heading 4" w:type="paragraph">
    <w:name w:val="Heading 4"/>
    <w:basedOn w:val="Normal"/>
    <w:next w:val="Body Text"/>
    <w:link w:val="Heading 4 Char"/>
    <w:pPr>
      <w:pBdr/>
      <w:keepNext/>
      <w:keepLines/>
      <w:outlineLvl w:val="3"/>
      <w:spacing w:after="40" w:before="80"/>
      <w:ind/>
    </w:pPr>
    <w:rPr>
      <w:rFonts w:cstheme="majorBidi" w:eastAsiaTheme="majorEastAsia"/>
      <w:i/>
      <w:iCs/>
      <w:color w:val="0F4761"/>
    </w:rPr>
  </w:style>
  <w:style w:styleId="Heading 4 Char" w:type="character">
    <w:name w:val="Heading 4 Char"/>
    <w:basedOn w:val="Default Paragraph Font"/>
    <w:rPr>
      <w:rFonts w:cstheme="majorBidi" w:eastAsiaTheme="majorEastAsia"/>
      <w:i/>
      <w:iCs/>
      <w:color w:val="0F4761"/>
    </w:rPr>
  </w:style>
  <w:style w:styleId="Heading 5" w:type="paragraph">
    <w:name w:val="Heading 5"/>
    <w:basedOn w:val="Normal"/>
    <w:next w:val="Body Text"/>
    <w:link w:val="Heading 5 Char"/>
    <w:pPr>
      <w:pBdr/>
      <w:keepNext/>
      <w:keepLines/>
      <w:outlineLvl w:val="4"/>
      <w:spacing w:after="40" w:before="80"/>
      <w:ind/>
    </w:pPr>
    <w:rPr>
      <w:rFonts w:cstheme="majorBidi" w:eastAsiaTheme="majorEastAsia"/>
      <w:color w:val="0F4761"/>
    </w:rPr>
  </w:style>
  <w:style w:styleId="Heading 5 Char" w:type="character">
    <w:name w:val="Heading 5 Char"/>
    <w:basedOn w:val="Default Paragraph Font"/>
    <w:rPr>
      <w:rFonts w:cstheme="majorBidi" w:eastAsiaTheme="majorEastAsia"/>
      <w:color w:val="0F4761"/>
    </w:rPr>
  </w:style>
  <w:style w:styleId="Heading 6" w:type="paragraph">
    <w:name w:val="Heading 6"/>
    <w:basedOn w:val="Normal"/>
    <w:next w:val="Body Text"/>
    <w:link w:val="Heading 6 Char"/>
    <w:pPr>
      <w:pBdr/>
      <w:keepNext/>
      <w:keepLines/>
      <w:outlineLvl w:val="5"/>
      <w:spacing w:after="0" w:before="40"/>
      <w:ind/>
    </w:pPr>
    <w:rPr>
      <w:rFonts w:cstheme="majorBidi" w:eastAsiaTheme="majorEastAsia"/>
      <w:i/>
      <w:iCs/>
      <w:color w:val="595959"/>
    </w:rPr>
  </w:style>
  <w:style w:styleId="Heading 6 Char" w:type="character">
    <w:name w:val="Heading 6 Char"/>
    <w:basedOn w:val="Default Paragraph Font"/>
    <w:rPr>
      <w:rFonts w:cstheme="majorBidi" w:eastAsiaTheme="majorEastAsia"/>
      <w:i/>
      <w:iCs/>
      <w:color w:val="595959"/>
    </w:rPr>
  </w:style>
  <w:style w:styleId="Heading 7" w:type="paragraph">
    <w:name w:val="Heading 7"/>
    <w:basedOn w:val="Normal"/>
    <w:next w:val="Body Text"/>
    <w:link w:val="Heading 7 Char"/>
    <w:pPr>
      <w:pBdr/>
      <w:keepNext/>
      <w:keepLines/>
      <w:outlineLvl w:val="6"/>
      <w:spacing w:after="0" w:before="40"/>
      <w:ind/>
    </w:pPr>
    <w:rPr>
      <w:rFonts w:cstheme="majorBidi" w:eastAsiaTheme="majorEastAsia"/>
      <w:color w:val="595959"/>
    </w:rPr>
  </w:style>
  <w:style w:styleId="Heading 7 Char" w:type="character">
    <w:name w:val="Heading 7 Char"/>
    <w:basedOn w:val="Default Paragraph Font"/>
    <w:rPr>
      <w:rFonts w:cstheme="majorBidi" w:eastAsiaTheme="majorEastAsia"/>
      <w:color w:val="595959"/>
    </w:rPr>
  </w:style>
  <w:style w:styleId="Heading 8" w:type="paragraph">
    <w:name w:val="Heading 8"/>
    <w:basedOn w:val="Normal"/>
    <w:next w:val="Body Text"/>
    <w:link w:val="Heading 8 Char"/>
    <w:pPr>
      <w:pBdr/>
      <w:keepNext/>
      <w:keepLines/>
      <w:outlineLvl w:val="7"/>
      <w:spacing w:after="0"/>
      <w:ind/>
    </w:pPr>
    <w:rPr>
      <w:rFonts w:cstheme="majorBidi" w:eastAsiaTheme="majorEastAsia"/>
      <w:i/>
      <w:iCs/>
      <w:color w:val="272727"/>
    </w:rPr>
  </w:style>
  <w:style w:styleId="Heading 8 Char" w:type="character">
    <w:name w:val="Heading 8 Char"/>
    <w:basedOn w:val="Default Paragraph Font"/>
    <w:rPr>
      <w:rFonts w:cstheme="majorBidi" w:eastAsiaTheme="majorEastAsia"/>
      <w:i/>
      <w:iCs/>
      <w:color w:val="272727"/>
    </w:rPr>
  </w:style>
  <w:style w:styleId="Heading 9" w:type="paragraph">
    <w:name w:val="Heading 9"/>
    <w:basedOn w:val="Normal"/>
    <w:next w:val="Body Text"/>
    <w:link w:val="Heading 9 Char"/>
    <w:pPr>
      <w:pBdr/>
      <w:keepNext/>
      <w:keepLines/>
      <w:outlineLvl w:val="8"/>
      <w:spacing w:after="0"/>
      <w:ind/>
    </w:pPr>
    <w:rPr>
      <w:rFonts w:cstheme="majorBidi" w:eastAsiaTheme="majorEastAsia"/>
      <w:color w:val="272727"/>
    </w:rPr>
  </w:style>
  <w:style w:styleId="Heading 9 Char" w:type="character">
    <w:name w:val="Heading 9 Char"/>
    <w:basedOn w:val="Default Paragraph Font"/>
    <w:rPr>
      <w:rFonts w:cstheme="majorBidi" w:eastAsiaTheme="majorEastAsia"/>
      <w:color w:val="272727"/>
    </w:rPr>
  </w:style>
  <w:style w:styleId="Normal Table" w:type="table">
    <w:name w:val="Normal Table"/>
    <w:next w:val="Normal Table"/>
  </w:style>
  <w:style w:styleId="First Paragraph" w:type="paragraph">
    <w:name w:val="First Paragraph"/>
    <w:basedOn w:val="Body Text"/>
    <w:next w:val="Body Text"/>
    <w:pPr>
      <w:pBdr/>
      <w:spacing/>
      <w:ind/>
    </w:pPr>
    <w:rPr/>
  </w:style>
  <w:style w:styleId="Compact" w:type="paragraph">
    <w:name w:val="Compact"/>
    <w:basedOn w:val="Body Text"/>
    <w:next w:val="Compact"/>
    <w:pPr>
      <w:pBdr/>
      <w:spacing w:after="36" w:before="36"/>
      <w:ind/>
    </w:pPr>
    <w:rPr/>
  </w:style>
  <w:style w:styleId="Title" w:type="paragraph">
    <w:name w:val="Title"/>
    <w:basedOn w:val="Normal"/>
    <w:next w:val="Body Text"/>
    <w:link w:val="Title Char"/>
    <w:pPr>
      <w:pBdr/>
      <w:spacing w:after="80"/>
      <w:contextualSpacing/>
      <w:ind/>
      <w:jc w:val="center"/>
    </w:pPr>
    <w:rPr>
      <w:rFonts w:asciiTheme="majorHAnsi" w:cstheme="majorBidi" w:eastAsiaTheme="majorEastAsia" w:hAnsiTheme="majorHAnsi"/>
      <w:sz w:val="56"/>
      <w:szCs w:val="56"/>
    </w:rPr>
  </w:style>
  <w:style w:styleId="Title Char" w:type="character">
    <w:name w:val="Title Char"/>
    <w:basedOn w:val="Default Paragraph Font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 Text"/>
    <w:link w:val="Subtitle Char"/>
    <w:pPr>
      <w:pBdr/>
      <w:numPr>
        <w:ilvl w:val="1"/>
      </w:numPr>
      <w:spacing/>
      <w:ind/>
    </w:pPr>
    <w:rPr>
      <w:sz w:val="28"/>
      <w:spacing w:val="15"/>
      <w:szCs w:val="28"/>
    </w:rPr>
  </w:style>
  <w:style w:styleId="Subtitle Char" w:type="character">
    <w:name w:val="Subtitle Char"/>
    <w:basedOn w:val="Default Paragraph Font"/>
    <w:rPr>
      <w:rFonts w:cstheme="majorBidi" w:eastAsiaTheme="majorEastAsia"/>
      <w:color w:val="595959"/>
      <w:sz w:val="28"/>
      <w:spacing w:val="15"/>
      <w:szCs w:val="28"/>
    </w:rPr>
  </w:style>
  <w:style w:styleId="Author" w:type="paragraph">
    <w:name w:val="Author"/>
    <w:basedOn w:val="Title"/>
    <w:next w:val="Body Text"/>
    <w:pPr>
      <w:pBdr/>
      <w:keepNext/>
      <w:keepLines/>
      <w:spacing/>
      <w:ind/>
    </w:pPr>
    <w:rPr>
      <w:sz w:val="24"/>
      <w:szCs w:val="24"/>
    </w:rPr>
  </w:style>
  <w:style w:styleId="Date" w:type="paragraph">
    <w:name w:val="Date"/>
    <w:basedOn w:val="Title"/>
    <w:next w:val="Body Text"/>
    <w:pPr>
      <w:pBdr/>
      <w:keepNext/>
      <w:keepLines/>
      <w:spacing/>
      <w:ind/>
    </w:pPr>
    <w:rPr>
      <w:sz w:val="24"/>
      <w:szCs w:val="24"/>
    </w:rPr>
  </w:style>
  <w:style w:styleId="Abstract Title" w:type="paragraph">
    <w:name w:val="Abstract Title"/>
    <w:basedOn w:val="Normal"/>
    <w:pPr>
      <w:pBdr/>
      <w:keepNext/>
      <w:keepLines/>
      <w:spacing w:after="0" w:before="300"/>
      <w:ind/>
      <w:jc w:val="center"/>
    </w:pPr>
    <w:rPr>
      <w:b/>
      <w:sz w:val="20"/>
      <w:szCs w:val="20"/>
    </w:rPr>
  </w:style>
  <w:style w:styleId="Abstract" w:type="paragraph">
    <w:name w:val="Abstract"/>
    <w:basedOn w:val="Normal"/>
    <w:next w:val="Body Text"/>
    <w:pPr>
      <w:pBdr/>
      <w:keepNext/>
      <w:keepLines/>
      <w:spacing w:after="300" w:before="100"/>
      <w:ind/>
    </w:pPr>
    <w:rPr>
      <w:sz w:val="20"/>
      <w:szCs w:val="20"/>
    </w:rPr>
  </w:style>
  <w:style w:styleId="Bibliography" w:type="paragraph">
    <w:name w:val="Bibliography"/>
    <w:basedOn w:val="Normal"/>
    <w:next w:val="Bibliography"/>
    <w:pPr>
      <w:pBdr/>
      <w:spacing/>
      <w:ind/>
    </w:pPr>
    <w:rPr/>
  </w:style>
  <w:style w:styleId="Block Text" w:type="paragraph">
    <w:name w:val="Block Text"/>
    <w:basedOn w:val="Body Text"/>
    <w:next w:val="Body Text"/>
    <w:pPr>
      <w:pBdr/>
      <w:spacing w:after="100" w:before="100"/>
      <w:ind w:left="480" w:right="480"/>
    </w:pPr>
    <w:rPr/>
  </w:style>
  <w:style w:styleId="Footnote Text" w:type="paragraph">
    <w:name w:val="Footnote Text"/>
    <w:basedOn w:val="Normal"/>
    <w:next w:val="Footnote Text"/>
    <w:pPr>
      <w:pBdr/>
      <w:spacing/>
      <w:ind/>
    </w:pPr>
    <w:rPr/>
  </w:style>
  <w:style w:styleId="Footnote Block Text" w:type="paragraph">
    <w:name w:val="Footnote Block Text"/>
    <w:basedOn w:val="Footnote Text"/>
    <w:next w:val="Footnote Text"/>
    <w:pPr>
      <w:pBdr/>
      <w:spacing w:after="100" w:before="100"/>
      <w:ind w:left="480" w:right="480"/>
    </w:pPr>
    <w:rPr/>
  </w:style>
  <w:style w:styleId="Table" w:type="table">
    <w:name w:val="Table"/>
    <w:next w:val="Table"/>
  </w:style>
  <w:style w:styleId="Definition Term" w:type="paragraph">
    <w:name w:val="Definition Term"/>
    <w:basedOn w:val="Normal"/>
    <w:pPr>
      <w:pBdr/>
      <w:keepNext/>
      <w:keepLines/>
      <w:spacing w:after="0"/>
      <w:ind/>
    </w:pPr>
    <w:rPr>
      <w:b/>
    </w:rPr>
  </w:style>
  <w:style w:styleId="Definition" w:type="paragraph">
    <w:name w:val="Definition"/>
    <w:basedOn w:val="Normal"/>
    <w:next w:val="Definition"/>
    <w:pPr>
      <w:pBdr/>
      <w:spacing/>
      <w:ind/>
    </w:pPr>
    <w:rPr/>
  </w:style>
  <w:style w:styleId="Caption" w:type="paragraph">
    <w:name w:val="Caption"/>
    <w:basedOn w:val="Normal"/>
    <w:next w:val="Caption"/>
    <w:link w:val="Caption Char"/>
    <w:pPr>
      <w:pBdr/>
      <w:spacing w:after="120"/>
      <w:ind/>
    </w:pPr>
    <w:rPr>
      <w:i/>
    </w:rPr>
  </w:style>
  <w:style w:styleId="Caption Char" w:type="character">
    <w:name w:val="Caption Char"/>
    <w:basedOn w:val="Default Paragraph Font"/>
    <w:rPr/>
  </w:style>
  <w:style w:styleId="Table Caption" w:type="paragraph">
    <w:name w:val="Table Caption"/>
    <w:basedOn w:val="Caption"/>
    <w:next w:val="Table Caption"/>
    <w:pPr>
      <w:pBdr/>
      <w:keepNext/>
      <w:spacing/>
      <w:ind/>
    </w:pPr>
    <w:rPr/>
  </w:style>
  <w:style w:styleId="Image Caption" w:type="paragraph">
    <w:name w:val="Image Caption"/>
    <w:basedOn w:val="Caption"/>
    <w:next w:val="Image Caption"/>
    <w:pPr>
      <w:pBdr/>
      <w:spacing/>
      <w:ind/>
    </w:pPr>
    <w:rPr/>
  </w:style>
  <w:style w:styleId="Figure" w:type="paragraph">
    <w:name w:val="Figure"/>
    <w:basedOn w:val="Normal"/>
    <w:next w:val="Figure"/>
    <w:pPr>
      <w:pBdr/>
      <w:spacing/>
      <w:ind/>
    </w:pPr>
    <w:rPr/>
  </w:style>
  <w:style w:styleId="Captioned Figure" w:type="paragraph">
    <w:name w:val="Captioned Figure"/>
    <w:basedOn w:val="Figure"/>
    <w:next w:val="Captioned Figure"/>
    <w:pPr>
      <w:pBdr/>
      <w:keepNext/>
      <w:spacing/>
      <w:ind/>
    </w:pPr>
    <w:rPr/>
  </w:style>
  <w:style w:styleId="Verbatim Char" w:type="character">
    <w:name w:val="Verbatim Char"/>
    <w:basedOn w:val="Caption Char"/>
    <w:rPr>
      <w:rFonts w:ascii="Consolas" w:hAnsi="Consolas"/>
      <w:sz w:val="22"/>
    </w:rPr>
  </w:style>
  <w:style w:styleId="Section Number" w:type="character">
    <w:name w:val="Section Number"/>
    <w:basedOn w:val="Caption Char"/>
    <w:rPr/>
  </w:style>
  <w:style w:styleId="Footnote Reference" w:type="character">
    <w:name w:val="Footnote Reference"/>
    <w:basedOn w:val="Caption Char"/>
    <w:rPr>
      <w:vertAlign w:val="superscript"/>
    </w:rPr>
  </w:style>
  <w:style w:styleId="Hyperlink" w:type="character">
    <w:name w:val="Hyperlink"/>
    <w:basedOn w:val="Caption Char"/>
    <w:rPr>
      <w:color w:val="156082"/>
    </w:rPr>
  </w:style>
  <w:style w:styleId="TOC Heading" w:type="paragraph">
    <w:name w:val="TOC Heading"/>
    <w:basedOn w:val="Heading 1"/>
    <w:next w:val="Body Text"/>
    <w:pPr>
      <w:pBdr/>
      <w:outlineLvl w:val="9"/>
      <w:spacing w:before="240" w:line="259" w:lineRule="auto"/>
      <w:ind/>
    </w:pPr>
    <w:rPr/>
  </w:style>
  <w:style w:styleId="Source Code" w:type="paragraph">
    <w:name w:val="Source Code"/>
    <w:basedOn w:val="Normal"/>
    <w:next w:val="Source Code"/>
    <w:link w:val="Verbatim Char"/>
    <w:pPr>
      <w:pBdr/>
      <w:spacing/>
      <w:ind/>
    </w:pPr>
    <w:rPr/>
  </w:style>
  <w:style w:styleId="KeywordTok" w:type="character">
    <w:name w:val="KeywordTok"/>
    <w:basedOn w:val="Verbatim Char"/>
    <w:rPr>
      <w:rFonts w:ascii="Consolas" w:hAnsi="Consolas"/>
      <w:b/>
      <w:color w:val="007020"/>
      <w:sz w:val="22"/>
    </w:rPr>
  </w:style>
  <w:style w:styleId="DataTypeTok" w:type="character">
    <w:name w:val="DataTypeTok"/>
    <w:basedOn w:val="Verbatim Char"/>
    <w:rPr>
      <w:rFonts w:ascii="Consolas" w:hAnsi="Consolas"/>
      <w:color w:val="902000"/>
      <w:sz w:val="22"/>
    </w:rPr>
  </w:style>
  <w:style w:styleId="DecValTok" w:type="character">
    <w:name w:val="DecValTok"/>
    <w:basedOn w:val="Verbatim Char"/>
    <w:rPr>
      <w:rFonts w:ascii="Consolas" w:hAnsi="Consolas"/>
      <w:color w:val="40A070"/>
      <w:sz w:val="22"/>
    </w:rPr>
  </w:style>
  <w:style w:styleId="BaseNTok" w:type="character">
    <w:name w:val="BaseNTok"/>
    <w:basedOn w:val="Verbatim Char"/>
    <w:rPr>
      <w:rFonts w:ascii="Consolas" w:hAnsi="Consolas"/>
      <w:color w:val="40A070"/>
      <w:sz w:val="22"/>
    </w:rPr>
  </w:style>
  <w:style w:styleId="FloatTok" w:type="character">
    <w:name w:val="FloatTok"/>
    <w:basedOn w:val="Verbatim Char"/>
    <w:rPr>
      <w:rFonts w:ascii="Consolas" w:hAnsi="Consolas"/>
      <w:color w:val="40A070"/>
      <w:sz w:val="22"/>
    </w:rPr>
  </w:style>
  <w:style w:styleId="ConstantTok" w:type="character">
    <w:name w:val="ConstantTok"/>
    <w:basedOn w:val="Verbatim Char"/>
    <w:rPr>
      <w:rFonts w:ascii="Consolas" w:hAnsi="Consolas"/>
      <w:color w:val="880000"/>
      <w:sz w:val="22"/>
    </w:rPr>
  </w:style>
  <w:style w:styleId="CharTok" w:type="character">
    <w:name w:val="CharTok"/>
    <w:basedOn w:val="Verbatim Char"/>
    <w:rPr>
      <w:rFonts w:ascii="Consolas" w:hAnsi="Consolas"/>
      <w:color w:val="4070A0"/>
      <w:sz w:val="22"/>
    </w:rPr>
  </w:style>
  <w:style w:styleId="SpecialCharTok" w:type="character">
    <w:name w:val="SpecialCharTok"/>
    <w:basedOn w:val="Verbatim Char"/>
    <w:rPr>
      <w:rFonts w:ascii="Consolas" w:hAnsi="Consolas"/>
      <w:color w:val="4070A0"/>
      <w:sz w:val="22"/>
    </w:rPr>
  </w:style>
  <w:style w:styleId="StringTok" w:type="character">
    <w:name w:val="StringTok"/>
    <w:basedOn w:val="Verbatim Char"/>
    <w:rPr>
      <w:rFonts w:ascii="Consolas" w:hAnsi="Consolas"/>
      <w:color w:val="4070A0"/>
      <w:sz w:val="22"/>
    </w:rPr>
  </w:style>
  <w:style w:styleId="VerbatimStringTok" w:type="character">
    <w:name w:val="VerbatimStringTok"/>
    <w:basedOn w:val="Verbatim Char"/>
    <w:rPr>
      <w:rFonts w:ascii="Consolas" w:hAnsi="Consolas"/>
      <w:color w:val="4070A0"/>
      <w:sz w:val="22"/>
    </w:rPr>
  </w:style>
  <w:style w:styleId="SpecialStringTok" w:type="character">
    <w:name w:val="SpecialStringTok"/>
    <w:basedOn w:val="Verbatim Char"/>
    <w:rPr>
      <w:rFonts w:ascii="Consolas" w:hAnsi="Consolas"/>
      <w:color w:val="BB6688"/>
      <w:sz w:val="22"/>
    </w:rPr>
  </w:style>
  <w:style w:styleId="ImportTok" w:type="character">
    <w:name w:val="ImportTok"/>
    <w:basedOn w:val="Verbatim Char"/>
    <w:rPr>
      <w:rFonts w:ascii="Consolas" w:hAnsi="Consolas"/>
      <w:b/>
      <w:color w:val="008000"/>
      <w:sz w:val="22"/>
    </w:rPr>
  </w:style>
  <w:style w:styleId="CommentTok" w:type="character">
    <w:name w:val="CommentTok"/>
    <w:basedOn w:val="Verbatim Char"/>
    <w:rPr>
      <w:rFonts w:ascii="Consolas" w:hAnsi="Consolas"/>
      <w:i/>
      <w:color w:val="60A0B0"/>
      <w:sz w:val="22"/>
    </w:rPr>
  </w:style>
  <w:style w:styleId="DocumentationTok" w:type="character">
    <w:name w:val="DocumentationTok"/>
    <w:basedOn w:val="Verbatim Char"/>
    <w:rPr>
      <w:rFonts w:ascii="Consolas" w:hAnsi="Consolas"/>
      <w:i/>
      <w:color w:val="BA2121"/>
      <w:sz w:val="22"/>
    </w:rPr>
  </w:style>
  <w:style w:styleId="AnnotationTok" w:type="character">
    <w:name w:val="AnnotationTok"/>
    <w:basedOn w:val="Verbatim Char"/>
    <w:rPr>
      <w:rFonts w:ascii="Consolas" w:hAnsi="Consolas"/>
      <w:b/>
      <w:i/>
      <w:color w:val="60A0B0"/>
      <w:sz w:val="22"/>
    </w:rPr>
  </w:style>
  <w:style w:styleId="CommentVarTok" w:type="character">
    <w:name w:val="CommentVarTok"/>
    <w:basedOn w:val="Verbatim Char"/>
    <w:rPr>
      <w:rFonts w:ascii="Consolas" w:hAnsi="Consolas"/>
      <w:b/>
      <w:i/>
      <w:color w:val="60A0B0"/>
      <w:sz w:val="22"/>
    </w:rPr>
  </w:style>
  <w:style w:styleId="OtherTok" w:type="character">
    <w:name w:val="OtherTok"/>
    <w:basedOn w:val="Verbatim Char"/>
    <w:rPr>
      <w:rFonts w:ascii="Consolas" w:hAnsi="Consolas"/>
      <w:color w:val="007020"/>
      <w:sz w:val="22"/>
    </w:rPr>
  </w:style>
  <w:style w:styleId="FunctionTok" w:type="character">
    <w:name w:val="FunctionTok"/>
    <w:basedOn w:val="Verbatim Char"/>
    <w:rPr>
      <w:rFonts w:ascii="Consolas" w:hAnsi="Consolas"/>
      <w:color w:val="06287E"/>
      <w:sz w:val="22"/>
    </w:rPr>
  </w:style>
  <w:style w:styleId="VariableTok" w:type="character">
    <w:name w:val="VariableTok"/>
    <w:basedOn w:val="Verbatim Char"/>
    <w:rPr>
      <w:rFonts w:ascii="Consolas" w:hAnsi="Consolas"/>
      <w:color w:val="19177C"/>
      <w:sz w:val="22"/>
    </w:rPr>
  </w:style>
  <w:style w:styleId="ControlFlowTok" w:type="character">
    <w:name w:val="ControlFlowTok"/>
    <w:basedOn w:val="Verbatim Char"/>
    <w:rPr>
      <w:rFonts w:ascii="Consolas" w:hAnsi="Consolas"/>
      <w:b/>
      <w:color w:val="007020"/>
      <w:sz w:val="22"/>
    </w:rPr>
  </w:style>
  <w:style w:styleId="OperatorTok" w:type="character">
    <w:name w:val="OperatorTok"/>
    <w:basedOn w:val="Verbatim Char"/>
    <w:rPr>
      <w:rFonts w:ascii="Consolas" w:hAnsi="Consolas"/>
      <w:color w:val="666666"/>
      <w:sz w:val="22"/>
    </w:rPr>
  </w:style>
  <w:style w:styleId="BuiltInTok" w:type="character">
    <w:name w:val="BuiltInTok"/>
    <w:basedOn w:val="Verbatim Char"/>
    <w:rPr>
      <w:rFonts w:ascii="Consolas" w:hAnsi="Consolas"/>
      <w:color w:val="008000"/>
      <w:sz w:val="22"/>
    </w:rPr>
  </w:style>
  <w:style w:styleId="ExtensionTok" w:type="character">
    <w:name w:val="ExtensionTok"/>
    <w:basedOn w:val="Verbatim Char"/>
    <w:rPr>
      <w:rFonts w:ascii="Consolas" w:hAnsi="Consolas"/>
      <w:sz w:val="22"/>
    </w:rPr>
  </w:style>
  <w:style w:styleId="PreprocessorTok" w:type="character">
    <w:name w:val="PreprocessorTok"/>
    <w:basedOn w:val="Verbatim Char"/>
    <w:rPr>
      <w:rFonts w:ascii="Consolas" w:hAnsi="Consolas"/>
      <w:color w:val="BC7A00"/>
      <w:sz w:val="22"/>
    </w:rPr>
  </w:style>
  <w:style w:styleId="AttributeTok" w:type="character">
    <w:name w:val="AttributeTok"/>
    <w:basedOn w:val="Verbatim Char"/>
    <w:rPr>
      <w:rFonts w:ascii="Consolas" w:hAnsi="Consolas"/>
      <w:color w:val="7D9029"/>
      <w:sz w:val="22"/>
    </w:rPr>
  </w:style>
  <w:style w:styleId="RegionMarkerTok" w:type="character">
    <w:name w:val="RegionMarkerTok"/>
    <w:basedOn w:val="Verbatim Char"/>
    <w:rPr>
      <w:rFonts w:ascii="Consolas" w:hAnsi="Consolas"/>
      <w:sz w:val="22"/>
    </w:rPr>
  </w:style>
  <w:style w:styleId="InformationTok" w:type="character">
    <w:name w:val="InformationTok"/>
    <w:basedOn w:val="Verbatim Char"/>
    <w:rPr>
      <w:rFonts w:ascii="Consolas" w:hAnsi="Consolas"/>
      <w:b/>
      <w:i/>
      <w:color w:val="60A0B0"/>
      <w:sz w:val="22"/>
    </w:rPr>
  </w:style>
  <w:style w:styleId="WarningTok" w:type="character">
    <w:name w:val="WarningTok"/>
    <w:basedOn w:val="Verbatim Char"/>
    <w:rPr>
      <w:rFonts w:ascii="Consolas" w:hAnsi="Consolas"/>
      <w:b/>
      <w:i/>
      <w:color w:val="60A0B0"/>
      <w:sz w:val="22"/>
    </w:rPr>
  </w:style>
  <w:style w:styleId="AlertTok" w:type="character">
    <w:name w:val="AlertTok"/>
    <w:basedOn w:val="Verbatim Char"/>
    <w:rPr>
      <w:rFonts w:ascii="Consolas" w:hAnsi="Consolas"/>
      <w:b/>
      <w:color w:val="FF0000"/>
      <w:sz w:val="22"/>
    </w:rPr>
  </w:style>
  <w:style w:styleId="ErrorTok" w:type="character">
    <w:name w:val="ErrorTok"/>
    <w:basedOn w:val="Verbatim Char"/>
    <w:rPr>
      <w:rFonts w:ascii="Consolas" w:hAnsi="Consolas"/>
      <w:b/>
      <w:color w:val="FF0000"/>
      <w:sz w:val="22"/>
    </w:rPr>
  </w:style>
  <w:style w:styleId="NormalTok" w:type="character">
    <w:name w:val="NormalTok"/>
    <w:basedOn w:val="Verbatim Char"/>
    <w:rPr>
      <w:rFonts w:ascii="Consolas" w:hAnsi="Consolas"/>
      <w:sz w:val="22"/>
    </w:rPr>
  </w:style>
  <w:style w:styleId="Header" w:type="paragraph">
    <w:name w:val="Header"/>
    <w:basedOn w:val="Normal"/>
    <w:next w:val="Header"/>
    <w:pPr>
      <w:pBdr/>
      <w:spacing w:after="0" w:line="240" w:lineRule="auto"/>
      <w:ind/>
    </w:pPr>
    <w:rPr/>
  </w:style>
  <w:style w:styleId="Footer" w:type="paragraph">
    <w:name w:val="Footer"/>
    <w:basedOn w:val="Normal"/>
    <w:next w:val="Footer"/>
    <w:pPr>
      <w:pBdr/>
      <w:spacing w:after="0" w:line="240" w:lineRule="auto"/>
      <w:ind/>
    </w:pPr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Aptos Display" panose="02110004020202020204"/>
        <a:ea typeface="" panose="02110004020202020204"/>
        <a:cs typeface="" panose="0211000402020202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 panose="02110004020202020204"/>
        <a:cs typeface="" panose="0211000402020202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Planteamiento del Problema de Investigación</dc:title>
  <dc:creator/>
  <cp:keywords/>
  <dcterms:created xsi:type="dcterms:W3CDTF">2026-09-19T15:42:09Z</dcterms:created>
  <dcterms:modified xsi:type="dcterms:W3CDTF">2026-09-19T15:42:09Z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