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0B2545"/>
          <w:sz w:val="48"/>
        </w:rPr>
        <w:t>CAHIER DES CHARGES MVP</w:t>
      </w:r>
    </w:p>
    <w:p>
      <w:pPr>
        <w:spacing w:after="200"/>
      </w:pPr>
      <w:r>
        <w:rPr>
          <w:rFonts w:ascii="Calibri" w:hAnsi="Calibri"/>
          <w:b/>
          <w:color w:val="167D8D"/>
          <w:sz w:val="26"/>
        </w:rPr>
        <w:t>SaaS HealthTech dentaire · stock, traçabilité et stérilisation</w:t>
      </w:r>
    </w:p>
    <w:p>
      <w:pPr>
        <w:pStyle w:val="Meta"/>
      </w:pPr>
      <w:r>
        <w:rPr>
          <w:rFonts w:ascii="Calibri" w:hAnsi="Calibri"/>
          <w:b/>
          <w:color w:val="5C6773"/>
          <w:sz w:val="19"/>
        </w:rPr>
        <w:t xml:space="preserve">Objet : </w:t>
      </w:r>
      <w:r>
        <w:rPr>
          <w:rFonts w:ascii="Calibri" w:hAnsi="Calibri"/>
          <w:color w:val="5C6773"/>
          <w:sz w:val="19"/>
        </w:rPr>
        <w:t>Livraison d’un MVP complet par un binôme de développement</w:t>
      </w:r>
    </w:p>
    <w:p>
      <w:pPr>
        <w:pStyle w:val="Meta"/>
      </w:pPr>
      <w:r>
        <w:rPr>
          <w:rFonts w:ascii="Calibri" w:hAnsi="Calibri"/>
          <w:b/>
          <w:color w:val="5C6773"/>
          <w:sz w:val="19"/>
        </w:rPr>
        <w:t xml:space="preserve">Supports : </w:t>
      </w:r>
      <w:r>
        <w:rPr>
          <w:rFonts w:ascii="Calibri" w:hAnsi="Calibri"/>
          <w:color w:val="5C6773"/>
          <w:sz w:val="19"/>
        </w:rPr>
        <w:t>Application web d’administration + application mobile Android/iOS + API sécurisée</w:t>
      </w:r>
    </w:p>
    <w:p>
      <w:pPr>
        <w:pStyle w:val="Meta"/>
      </w:pPr>
      <w:r>
        <w:rPr>
          <w:rFonts w:ascii="Calibri" w:hAnsi="Calibri"/>
          <w:b/>
          <w:color w:val="5C6773"/>
          <w:sz w:val="19"/>
        </w:rPr>
        <w:t xml:space="preserve">Statut : </w:t>
      </w:r>
      <w:r>
        <w:rPr>
          <w:rFonts w:ascii="Calibri" w:hAnsi="Calibri"/>
          <w:color w:val="5C6773"/>
          <w:sz w:val="19"/>
        </w:rPr>
        <w:t>Document de cadrage à valider avant démarrage</w:t>
      </w:r>
    </w:p>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AF6F7"/>
            <w:tcMar>
              <w:top w:w="100" w:type="dxa"/>
              <w:start w:w="150" w:type="dxa"/>
              <w:bottom w:w="100" w:type="dxa"/>
              <w:end w:w="150" w:type="dxa"/>
            </w:tcMar>
          </w:tcPr>
          <w:p>
            <w:pPr>
              <w:pStyle w:val="CalloutText"/>
            </w:pPr>
            <w:r>
              <w:rPr>
                <w:rFonts w:ascii="Calibri" w:hAnsi="Calibri"/>
                <w:b/>
                <w:color w:val="167D8D"/>
                <w:sz w:val="20"/>
              </w:rPr>
              <w:t xml:space="preserve">OBJECTIF  </w:t>
            </w:r>
            <w:r>
              <w:rPr>
                <w:rFonts w:ascii="Calibri" w:hAnsi="Calibri"/>
                <w:color w:val="1F2933"/>
                <w:sz w:val="20"/>
              </w:rPr>
              <w:t>Construire une première version réellement testable permettant à un cabinet dentaire de gérer ses stocks, tracer les lots et les cycles de stérilisation, imprimer/scanner des étiquettes et retrouver l’historique depuis le web ou le mobile.</w:t>
            </w:r>
          </w:p>
        </w:tc>
      </w:tr>
    </w:tbl>
    <w:p>
      <w:pPr>
        <w:pStyle w:val="Heading1"/>
      </w:pPr>
      <w:r>
        <w:t>1. Répartition des responsabilités</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400"/>
        <w:gridCol w:w="6960"/>
      </w:tblGrid>
      <w:tr>
        <w:trPr>
          <w:tblHeader w:val="true"/>
        </w:trPr>
        <w:tc>
          <w:tcPr>
            <w:tcW w:type="dxa" w:w="2400"/>
            <w:shd w:fill="E8EEF5"/>
            <w:tcMar>
              <w:top w:w="90" w:type="dxa"/>
              <w:start w:w="120" w:type="dxa"/>
              <w:bottom w:w="90" w:type="dxa"/>
              <w:end w:w="120" w:type="dxa"/>
            </w:tcMar>
            <w:vAlign w:val="center"/>
          </w:tcPr>
          <w:p>
            <w:pPr>
              <w:pStyle w:val="DenseTable"/>
            </w:pPr>
            <w:r>
              <w:rPr>
                <w:rFonts w:ascii="Calibri" w:hAnsi="Calibri"/>
                <w:b/>
                <w:color w:val="0B2545"/>
                <w:sz w:val="18"/>
              </w:rPr>
              <w:t>Responsable</w:t>
            </w:r>
          </w:p>
        </w:tc>
        <w:tc>
          <w:tcPr>
            <w:tcW w:type="dxa" w:w="6960"/>
            <w:shd w:fill="E8EEF5"/>
            <w:tcMar>
              <w:top w:w="90" w:type="dxa"/>
              <w:start w:w="120" w:type="dxa"/>
              <w:bottom w:w="90" w:type="dxa"/>
              <w:end w:w="120" w:type="dxa"/>
            </w:tcMar>
            <w:vAlign w:val="center"/>
          </w:tcPr>
          <w:p>
            <w:pPr>
              <w:pStyle w:val="DenseTable"/>
            </w:pPr>
            <w:r>
              <w:rPr>
                <w:rFonts w:ascii="Calibri" w:hAnsi="Calibri"/>
                <w:b/>
                <w:color w:val="0B2545"/>
                <w:sz w:val="18"/>
              </w:rPr>
              <w:t>Périmètre obligatoire</w:t>
            </w:r>
          </w:p>
        </w:tc>
      </w:tr>
      <w:tr>
        <w:tc>
          <w:tcPr>
            <w:tcW w:type="dxa" w:w="2400"/>
            <w:tcMar>
              <w:top w:w="80" w:type="dxa"/>
              <w:start w:w="120" w:type="dxa"/>
              <w:bottom w:w="80" w:type="dxa"/>
              <w:end w:w="120" w:type="dxa"/>
            </w:tcMar>
            <w:vAlign w:val="top"/>
          </w:tcPr>
          <w:p>
            <w:pPr>
              <w:pStyle w:val="DenseTable"/>
            </w:pPr>
            <w:r>
              <w:rPr>
                <w:rFonts w:ascii="Calibri" w:hAnsi="Calibri"/>
                <w:color w:val="1F2933"/>
                <w:sz w:val="18"/>
              </w:rPr>
              <w:t>Binôme de réalisation</w:t>
            </w:r>
          </w:p>
        </w:tc>
        <w:tc>
          <w:tcPr>
            <w:tcW w:type="dxa" w:w="6960"/>
            <w:tcMar>
              <w:top w:w="80" w:type="dxa"/>
              <w:start w:w="120" w:type="dxa"/>
              <w:bottom w:w="80" w:type="dxa"/>
              <w:end w:w="120" w:type="dxa"/>
            </w:tcMar>
            <w:vAlign w:val="top"/>
          </w:tcPr>
          <w:p>
            <w:pPr>
              <w:pStyle w:val="DenseTable"/>
            </w:pPr>
            <w:r>
              <w:rPr>
                <w:rFonts w:ascii="Calibri" w:hAnsi="Calibri"/>
                <w:color w:val="1F2933"/>
                <w:sz w:val="18"/>
              </w:rPr>
              <w:t>Cadrage technique, UX/UI simple, architecture, base de données, backend/API, frontend web, application mobile, connecteurs techniques, tests, sécurité, CI/CD, déploiement et documentation.</w:t>
            </w:r>
          </w:p>
        </w:tc>
      </w:tr>
      <w:tr>
        <w:tc>
          <w:tcPr>
            <w:tcW w:type="dxa" w:w="2400"/>
            <w:shd w:fill="FAFBFC"/>
            <w:tcMar>
              <w:top w:w="80" w:type="dxa"/>
              <w:start w:w="120" w:type="dxa"/>
              <w:bottom w:w="80" w:type="dxa"/>
              <w:end w:w="120" w:type="dxa"/>
            </w:tcMar>
            <w:vAlign w:val="top"/>
          </w:tcPr>
          <w:p>
            <w:pPr>
              <w:pStyle w:val="DenseTable"/>
            </w:pPr>
            <w:r>
              <w:rPr>
                <w:rFonts w:ascii="Calibri" w:hAnsi="Calibri"/>
                <w:color w:val="1F2933"/>
                <w:sz w:val="18"/>
              </w:rPr>
              <w:t>Porteur du projet</w:t>
            </w:r>
          </w:p>
        </w:tc>
        <w:tc>
          <w:tcPr>
            <w:tcW w:type="dxa" w:w="6960"/>
            <w:shd w:fill="FAFBFC"/>
            <w:tcMar>
              <w:top w:w="80" w:type="dxa"/>
              <w:start w:w="120" w:type="dxa"/>
              <w:bottom w:w="80" w:type="dxa"/>
              <w:end w:w="120" w:type="dxa"/>
            </w:tcMar>
            <w:vAlign w:val="top"/>
          </w:tcPr>
          <w:p>
            <w:pPr>
              <w:pStyle w:val="DenseTable"/>
            </w:pPr>
            <w:r>
              <w:rPr>
                <w:rFonts w:ascii="Calibri" w:hAnsi="Calibri"/>
                <w:color w:val="1F2933"/>
                <w:sz w:val="18"/>
              </w:rPr>
              <w:t>Vision métier et validations ; contact avec les plateformes ; négociation des accords/NDA ; obtention de la documentation, sandbox, comptes de test, clés API, tarifs, conditions et autorisations de marque.</w:t>
            </w:r>
          </w:p>
        </w:tc>
      </w:tr>
    </w:tbl>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F4F6F9"/>
            <w:tcMar>
              <w:top w:w="100" w:type="dxa"/>
              <w:start w:w="150" w:type="dxa"/>
              <w:bottom w:w="100" w:type="dxa"/>
              <w:end w:w="150" w:type="dxa"/>
            </w:tcMar>
          </w:tcPr>
          <w:p>
            <w:pPr>
              <w:pStyle w:val="CalloutText"/>
            </w:pPr>
            <w:r>
              <w:rPr>
                <w:rFonts w:ascii="Calibri" w:hAnsi="Calibri"/>
                <w:b/>
                <w:color w:val="0B2545"/>
                <w:sz w:val="20"/>
              </w:rPr>
              <w:t xml:space="preserve">FRONTIÈRE À NE PAS CONFONDRE  </w:t>
            </w:r>
            <w:r>
              <w:rPr>
                <w:rFonts w:ascii="Calibri" w:hAnsi="Calibri"/>
                <w:color w:val="1F2933"/>
                <w:sz w:val="20"/>
              </w:rPr>
              <w:t>Le porteur du projet obtient les accès. Le binôme prépare les questions techniques, développe l’architecture de connecteurs, sécurise les secrets et réalise l’intégration dès que les accès sont remis. L’absence d’accès externe ne doit pas bloquer le cœur du MVP : des mocks et imports manuels seront utilisés.</w:t>
            </w:r>
          </w:p>
        </w:tc>
      </w:tr>
    </w:tbl>
    <w:p>
      <w:pPr>
        <w:pStyle w:val="Heading1"/>
      </w:pPr>
      <w:r>
        <w:t>2. Utilisateurs et périmètre</w:t>
      </w:r>
    </w:p>
    <w:p>
      <w:pPr>
        <w:pStyle w:val="BulletCompact"/>
        <w:numPr>
          <w:ilvl w:val="0"/>
          <w:numId w:val="70"/>
        </w:numPr>
      </w:pPr>
      <w:r>
        <w:rPr>
          <w:rFonts w:ascii="Calibri" w:hAnsi="Calibri"/>
          <w:b/>
          <w:color w:val="1F2933"/>
          <w:sz w:val="21"/>
        </w:rPr>
        <w:t>Administrateur de la structure :</w:t>
      </w:r>
      <w:r>
        <w:rPr>
          <w:rFonts w:ascii="Calibri" w:hAnsi="Calibri"/>
          <w:color w:val="1F2933"/>
          <w:sz w:val="21"/>
        </w:rPr>
        <w:t xml:space="preserve"> paramètres, utilisateurs, droits, sites et supervision.</w:t>
      </w:r>
    </w:p>
    <w:p>
      <w:pPr>
        <w:pStyle w:val="BulletCompact"/>
        <w:numPr>
          <w:ilvl w:val="0"/>
          <w:numId w:val="70"/>
        </w:numPr>
      </w:pPr>
      <w:r>
        <w:rPr>
          <w:rFonts w:ascii="Calibri" w:hAnsi="Calibri"/>
          <w:b/>
          <w:color w:val="1F2933"/>
          <w:sz w:val="21"/>
        </w:rPr>
        <w:t>Responsable de stock / assistant(e) :</w:t>
      </w:r>
      <w:r>
        <w:rPr>
          <w:rFonts w:ascii="Calibri" w:hAnsi="Calibri"/>
          <w:color w:val="1F2933"/>
          <w:sz w:val="21"/>
        </w:rPr>
        <w:t xml:space="preserve"> produits, commandes, réceptions, mouvements, lots, inventaires et alertes.</w:t>
      </w:r>
    </w:p>
    <w:p>
      <w:pPr>
        <w:pStyle w:val="BulletCompact"/>
        <w:numPr>
          <w:ilvl w:val="0"/>
          <w:numId w:val="70"/>
        </w:numPr>
      </w:pPr>
      <w:r>
        <w:rPr>
          <w:rFonts w:ascii="Calibri" w:hAnsi="Calibri"/>
          <w:b/>
          <w:color w:val="1F2933"/>
          <w:sz w:val="21"/>
        </w:rPr>
        <w:t>Praticien :</w:t>
      </w:r>
      <w:r>
        <w:rPr>
          <w:rFonts w:ascii="Calibri" w:hAnsi="Calibri"/>
          <w:color w:val="1F2933"/>
          <w:sz w:val="21"/>
        </w:rPr>
        <w:t xml:space="preserve"> consultation, scan d’utilisation et historique autorisé.</w:t>
      </w:r>
    </w:p>
    <w:p>
      <w:pPr>
        <w:pStyle w:val="BulletCompact"/>
        <w:numPr>
          <w:ilvl w:val="0"/>
          <w:numId w:val="70"/>
        </w:numPr>
      </w:pPr>
      <w:r>
        <w:rPr>
          <w:rFonts w:ascii="Calibri" w:hAnsi="Calibri"/>
          <w:color w:val="1F2933"/>
          <w:sz w:val="21"/>
        </w:rPr>
        <w:t>Chaque cabinet reste isolé des autres ; chaque action sensible conserve auteur, date, heure et ancienne/nouvelle valeur.</w:t>
      </w:r>
    </w:p>
    <w:p>
      <w:pPr>
        <w:pStyle w:val="Heading1"/>
      </w:pPr>
      <w:r>
        <w:t>3. Limites du MVP</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4680"/>
        <w:gridCol w:w="4680"/>
      </w:tblGrid>
      <w:tr>
        <w:trPr>
          <w:tblHeader w:val="true"/>
        </w:trPr>
        <w:tc>
          <w:tcPr>
            <w:tcW w:type="dxa" w:w="4680"/>
            <w:shd w:fill="E8EEF5"/>
            <w:tcMar>
              <w:top w:w="90" w:type="dxa"/>
              <w:start w:w="120" w:type="dxa"/>
              <w:bottom w:w="90" w:type="dxa"/>
              <w:end w:w="120" w:type="dxa"/>
            </w:tcMar>
            <w:vAlign w:val="center"/>
          </w:tcPr>
          <w:p>
            <w:pPr>
              <w:pStyle w:val="DenseTable"/>
            </w:pPr>
            <w:r>
              <w:rPr>
                <w:rFonts w:ascii="Calibri" w:hAnsi="Calibri"/>
                <w:b/>
                <w:color w:val="0B2545"/>
                <w:sz w:val="17"/>
              </w:rPr>
              <w:t>Inclus dans le MVP</w:t>
            </w:r>
          </w:p>
        </w:tc>
        <w:tc>
          <w:tcPr>
            <w:tcW w:type="dxa" w:w="4680"/>
            <w:shd w:fill="E8EEF5"/>
            <w:tcMar>
              <w:top w:w="90" w:type="dxa"/>
              <w:start w:w="120" w:type="dxa"/>
              <w:bottom w:w="90" w:type="dxa"/>
              <w:end w:w="120" w:type="dxa"/>
            </w:tcMar>
            <w:vAlign w:val="center"/>
          </w:tcPr>
          <w:p>
            <w:pPr>
              <w:pStyle w:val="DenseTable"/>
            </w:pPr>
            <w:r>
              <w:rPr>
                <w:rFonts w:ascii="Calibri" w:hAnsi="Calibri"/>
                <w:b/>
                <w:color w:val="0B2545"/>
                <w:sz w:val="17"/>
              </w:rPr>
              <w:t>Reporté après validation du MVP</w:t>
            </w:r>
          </w:p>
        </w:tc>
      </w:tr>
      <w:tr>
        <w:tc>
          <w:tcPr>
            <w:tcW w:type="dxa" w:w="4680"/>
            <w:tcMar>
              <w:top w:w="80" w:type="dxa"/>
              <w:start w:w="120" w:type="dxa"/>
              <w:bottom w:w="80" w:type="dxa"/>
              <w:end w:w="120" w:type="dxa"/>
            </w:tcMar>
            <w:vAlign w:val="top"/>
          </w:tcPr>
          <w:p>
            <w:pPr>
              <w:pStyle w:val="DenseTable"/>
            </w:pPr>
            <w:r>
              <w:rPr>
                <w:rFonts w:ascii="Calibri" w:hAnsi="Calibri"/>
                <w:color w:val="1F2933"/>
                <w:sz w:val="17"/>
              </w:rPr>
              <w:t>Un cabinet pilote, un site principal, rôles simples, stock/commandes/lots, traçabilité légère de stérilisation, étiquettes, scan, alertes, exports, web et mobile.</w:t>
            </w:r>
          </w:p>
        </w:tc>
        <w:tc>
          <w:tcPr>
            <w:tcW w:type="dxa" w:w="4680"/>
            <w:tcMar>
              <w:top w:w="80" w:type="dxa"/>
              <w:start w:w="120" w:type="dxa"/>
              <w:bottom w:w="80" w:type="dxa"/>
              <w:end w:w="120" w:type="dxa"/>
            </w:tcMar>
            <w:vAlign w:val="top"/>
          </w:tcPr>
          <w:p>
            <w:pPr>
              <w:pStyle w:val="DenseTable"/>
            </w:pPr>
            <w:r>
              <w:rPr>
                <w:rFonts w:ascii="Calibri" w:hAnsi="Calibri"/>
                <w:color w:val="1F2933"/>
                <w:sz w:val="17"/>
              </w:rPr>
              <w:t>Facturation SaaS avancée, marketplace, IA, multi-sites complexe, analytique prédictive, compatibilité universelle et personnalisation lourde.</w:t>
            </w:r>
          </w:p>
        </w:tc>
      </w:tr>
      <w:tr>
        <w:tc>
          <w:tcPr>
            <w:tcW w:type="dxa" w:w="4680"/>
            <w:shd w:fill="FAFBFC"/>
            <w:tcMar>
              <w:top w:w="80" w:type="dxa"/>
              <w:start w:w="120" w:type="dxa"/>
              <w:bottom w:w="80" w:type="dxa"/>
              <w:end w:w="120" w:type="dxa"/>
            </w:tcMar>
            <w:vAlign w:val="top"/>
          </w:tcPr>
          <w:p>
            <w:pPr>
              <w:pStyle w:val="DenseTable"/>
            </w:pPr>
            <w:r>
              <w:rPr>
                <w:rFonts w:ascii="Calibri" w:hAnsi="Calibri"/>
                <w:color w:val="1F2933"/>
                <w:sz w:val="17"/>
              </w:rPr>
              <w:t>Un connecteur partenaire prioritaire maximum si accès réel disponible ; sinon connecteur mock documenté.</w:t>
            </w:r>
          </w:p>
        </w:tc>
        <w:tc>
          <w:tcPr>
            <w:tcW w:type="dxa" w:w="4680"/>
            <w:shd w:fill="FAFBFC"/>
            <w:tcMar>
              <w:top w:w="80" w:type="dxa"/>
              <w:start w:w="120" w:type="dxa"/>
              <w:bottom w:w="80" w:type="dxa"/>
              <w:end w:w="120" w:type="dxa"/>
            </w:tcMar>
            <w:vAlign w:val="top"/>
          </w:tcPr>
          <w:p>
            <w:pPr>
              <w:pStyle w:val="DenseTable"/>
            </w:pPr>
            <w:r>
              <w:rPr>
                <w:rFonts w:ascii="Calibri" w:hAnsi="Calibri"/>
                <w:color w:val="1F2933"/>
                <w:sz w:val="17"/>
              </w:rPr>
              <w:t>Déploiement de dizaines de connecteurs. Chaque plateforme sera ajoutée et testée séparément selon sa documentation et son accord.</w:t>
            </w:r>
          </w:p>
        </w:tc>
      </w:tr>
    </w:tbl>
    <w:p>
      <w:r>
        <w:br w:type="page"/>
      </w:r>
    </w:p>
    <w:p>
      <w:pPr>
        <w:pStyle w:val="Heading1"/>
      </w:pPr>
      <w:r>
        <w:t>4. Fonctionnalités obligatoires du MVP</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700"/>
        <w:gridCol w:w="4080"/>
        <w:gridCol w:w="3580"/>
      </w:tblGrid>
      <w:tr>
        <w:trPr>
          <w:tblHeader w:val="true"/>
        </w:trPr>
        <w:tc>
          <w:tcPr>
            <w:tcW w:type="dxa" w:w="1700"/>
            <w:shd w:fill="E8EEF5"/>
            <w:tcMar>
              <w:top w:w="90" w:type="dxa"/>
              <w:start w:w="120" w:type="dxa"/>
              <w:bottom w:w="90" w:type="dxa"/>
              <w:end w:w="120" w:type="dxa"/>
            </w:tcMar>
            <w:vAlign w:val="center"/>
          </w:tcPr>
          <w:p>
            <w:pPr>
              <w:pStyle w:val="DenseTable"/>
            </w:pPr>
            <w:r>
              <w:rPr>
                <w:rFonts w:ascii="Calibri" w:hAnsi="Calibri"/>
                <w:b/>
                <w:color w:val="0B2545"/>
                <w:sz w:val="16"/>
              </w:rPr>
              <w:t>Module</w:t>
            </w:r>
          </w:p>
        </w:tc>
        <w:tc>
          <w:tcPr>
            <w:tcW w:type="dxa" w:w="4080"/>
            <w:shd w:fill="E8EEF5"/>
            <w:tcMar>
              <w:top w:w="90" w:type="dxa"/>
              <w:start w:w="120" w:type="dxa"/>
              <w:bottom w:w="90" w:type="dxa"/>
              <w:end w:w="120" w:type="dxa"/>
            </w:tcMar>
            <w:vAlign w:val="center"/>
          </w:tcPr>
          <w:p>
            <w:pPr>
              <w:pStyle w:val="DenseTable"/>
            </w:pPr>
            <w:r>
              <w:rPr>
                <w:rFonts w:ascii="Calibri" w:hAnsi="Calibri"/>
                <w:b/>
                <w:color w:val="0B2545"/>
                <w:sz w:val="16"/>
              </w:rPr>
              <w:t>Web / administration</w:t>
            </w:r>
          </w:p>
        </w:tc>
        <w:tc>
          <w:tcPr>
            <w:tcW w:type="dxa" w:w="3580"/>
            <w:shd w:fill="E8EEF5"/>
            <w:tcMar>
              <w:top w:w="90" w:type="dxa"/>
              <w:start w:w="120" w:type="dxa"/>
              <w:bottom w:w="90" w:type="dxa"/>
              <w:end w:w="120" w:type="dxa"/>
            </w:tcMar>
            <w:vAlign w:val="center"/>
          </w:tcPr>
          <w:p>
            <w:pPr>
              <w:pStyle w:val="DenseTable"/>
            </w:pPr>
            <w:r>
              <w:rPr>
                <w:rFonts w:ascii="Calibri" w:hAnsi="Calibri"/>
                <w:b/>
                <w:color w:val="0B2545"/>
                <w:sz w:val="16"/>
              </w:rPr>
              <w:t>Mobile</w:t>
            </w:r>
          </w:p>
        </w:tc>
      </w:tr>
      <w:tr>
        <w:tc>
          <w:tcPr>
            <w:tcW w:type="dxa" w:w="1700"/>
            <w:tcMar>
              <w:top w:w="80" w:type="dxa"/>
              <w:start w:w="120" w:type="dxa"/>
              <w:bottom w:w="80" w:type="dxa"/>
              <w:end w:w="120" w:type="dxa"/>
            </w:tcMar>
            <w:vAlign w:val="top"/>
          </w:tcPr>
          <w:p>
            <w:pPr>
              <w:pStyle w:val="DenseTable"/>
            </w:pPr>
            <w:r>
              <w:rPr>
                <w:rFonts w:ascii="Calibri" w:hAnsi="Calibri"/>
                <w:color w:val="1F2933"/>
                <w:sz w:val="16"/>
              </w:rPr>
              <w:t>Compte et sécurité</w:t>
            </w:r>
          </w:p>
        </w:tc>
        <w:tc>
          <w:tcPr>
            <w:tcW w:type="dxa" w:w="4080"/>
            <w:tcMar>
              <w:top w:w="80" w:type="dxa"/>
              <w:start w:w="120" w:type="dxa"/>
              <w:bottom w:w="80" w:type="dxa"/>
              <w:end w:w="120" w:type="dxa"/>
            </w:tcMar>
            <w:vAlign w:val="top"/>
          </w:tcPr>
          <w:p>
            <w:pPr>
              <w:pStyle w:val="DenseTable"/>
            </w:pPr>
            <w:r>
              <w:rPr>
                <w:rFonts w:ascii="Calibri" w:hAnsi="Calibri"/>
                <w:color w:val="1F2933"/>
                <w:sz w:val="16"/>
              </w:rPr>
              <w:t>Connexion, réinitialisation, organisation, utilisateurs, rôles et permissions.</w:t>
            </w:r>
          </w:p>
        </w:tc>
        <w:tc>
          <w:tcPr>
            <w:tcW w:type="dxa" w:w="3580"/>
            <w:tcMar>
              <w:top w:w="80" w:type="dxa"/>
              <w:start w:w="120" w:type="dxa"/>
              <w:bottom w:w="80" w:type="dxa"/>
              <w:end w:w="120" w:type="dxa"/>
            </w:tcMar>
            <w:vAlign w:val="top"/>
          </w:tcPr>
          <w:p>
            <w:pPr>
              <w:pStyle w:val="DenseTable"/>
            </w:pPr>
            <w:r>
              <w:rPr>
                <w:rFonts w:ascii="Calibri" w:hAnsi="Calibri"/>
                <w:color w:val="1F2933"/>
                <w:sz w:val="16"/>
              </w:rPr>
              <w:t>Connexion sécurisée, session persistante maîtrisée et accès selon le rôle.</w:t>
            </w:r>
          </w:p>
        </w:tc>
      </w:tr>
      <w:tr>
        <w:tc>
          <w:tcPr>
            <w:tcW w:type="dxa" w:w="1700"/>
            <w:shd w:fill="FAFBFC"/>
            <w:tcMar>
              <w:top w:w="80" w:type="dxa"/>
              <w:start w:w="120" w:type="dxa"/>
              <w:bottom w:w="80" w:type="dxa"/>
              <w:end w:w="120" w:type="dxa"/>
            </w:tcMar>
            <w:vAlign w:val="top"/>
          </w:tcPr>
          <w:p>
            <w:pPr>
              <w:pStyle w:val="DenseTable"/>
            </w:pPr>
            <w:r>
              <w:rPr>
                <w:rFonts w:ascii="Calibri" w:hAnsi="Calibri"/>
                <w:color w:val="1F2933"/>
                <w:sz w:val="16"/>
              </w:rPr>
              <w:t>Catalogue</w:t>
            </w:r>
          </w:p>
        </w:tc>
        <w:tc>
          <w:tcPr>
            <w:tcW w:type="dxa" w:w="4080"/>
            <w:shd w:fill="FAFBFC"/>
            <w:tcMar>
              <w:top w:w="80" w:type="dxa"/>
              <w:start w:w="120" w:type="dxa"/>
              <w:bottom w:w="80" w:type="dxa"/>
              <w:end w:w="120" w:type="dxa"/>
            </w:tcMar>
            <w:vAlign w:val="top"/>
          </w:tcPr>
          <w:p>
            <w:pPr>
              <w:pStyle w:val="DenseTable"/>
            </w:pPr>
            <w:r>
              <w:rPr>
                <w:rFonts w:ascii="Calibri" w:hAnsi="Calibri"/>
                <w:color w:val="1F2933"/>
                <w:sz w:val="16"/>
              </w:rPr>
              <w:t>Produits, familles, unités, photos/documents, seuil minimal, emplacement et fournisseur.</w:t>
            </w:r>
          </w:p>
        </w:tc>
        <w:tc>
          <w:tcPr>
            <w:tcW w:type="dxa" w:w="3580"/>
            <w:shd w:fill="FAFBFC"/>
            <w:tcMar>
              <w:top w:w="80" w:type="dxa"/>
              <w:start w:w="120" w:type="dxa"/>
              <w:bottom w:w="80" w:type="dxa"/>
              <w:end w:w="120" w:type="dxa"/>
            </w:tcMar>
            <w:vAlign w:val="top"/>
          </w:tcPr>
          <w:p>
            <w:pPr>
              <w:pStyle w:val="DenseTable"/>
            </w:pPr>
            <w:r>
              <w:rPr>
                <w:rFonts w:ascii="Calibri" w:hAnsi="Calibri"/>
                <w:color w:val="1F2933"/>
                <w:sz w:val="16"/>
              </w:rPr>
              <w:t>Recherche, fiche produit, ajout rapide et lecture code 2D.</w:t>
            </w:r>
          </w:p>
        </w:tc>
      </w:tr>
      <w:tr>
        <w:tc>
          <w:tcPr>
            <w:tcW w:type="dxa" w:w="1700"/>
            <w:tcMar>
              <w:top w:w="80" w:type="dxa"/>
              <w:start w:w="120" w:type="dxa"/>
              <w:bottom w:w="80" w:type="dxa"/>
              <w:end w:w="120" w:type="dxa"/>
            </w:tcMar>
            <w:vAlign w:val="top"/>
          </w:tcPr>
          <w:p>
            <w:pPr>
              <w:pStyle w:val="DenseTable"/>
            </w:pPr>
            <w:r>
              <w:rPr>
                <w:rFonts w:ascii="Calibri" w:hAnsi="Calibri"/>
                <w:color w:val="1F2933"/>
                <w:sz w:val="16"/>
              </w:rPr>
              <w:t>Stock et mouvements</w:t>
            </w:r>
          </w:p>
        </w:tc>
        <w:tc>
          <w:tcPr>
            <w:tcW w:type="dxa" w:w="4080"/>
            <w:tcMar>
              <w:top w:w="80" w:type="dxa"/>
              <w:start w:w="120" w:type="dxa"/>
              <w:bottom w:w="80" w:type="dxa"/>
              <w:end w:w="120" w:type="dxa"/>
            </w:tcMar>
            <w:vAlign w:val="top"/>
          </w:tcPr>
          <w:p>
            <w:pPr>
              <w:pStyle w:val="DenseTable"/>
            </w:pPr>
            <w:r>
              <w:rPr>
                <w:rFonts w:ascii="Calibri" w:hAnsi="Calibri"/>
                <w:color w:val="1F2933"/>
                <w:sz w:val="16"/>
              </w:rPr>
              <w:t>Entrées, sorties, ajustements justifiés, transferts simples, historique et calcul du stock.</w:t>
            </w:r>
          </w:p>
        </w:tc>
        <w:tc>
          <w:tcPr>
            <w:tcW w:type="dxa" w:w="3580"/>
            <w:tcMar>
              <w:top w:w="80" w:type="dxa"/>
              <w:start w:w="120" w:type="dxa"/>
              <w:bottom w:w="80" w:type="dxa"/>
              <w:end w:w="120" w:type="dxa"/>
            </w:tcMar>
            <w:vAlign w:val="top"/>
          </w:tcPr>
          <w:p>
            <w:pPr>
              <w:pStyle w:val="DenseTable"/>
            </w:pPr>
            <w:r>
              <w:rPr>
                <w:rFonts w:ascii="Calibri" w:hAnsi="Calibri"/>
                <w:color w:val="1F2933"/>
                <w:sz w:val="16"/>
              </w:rPr>
              <w:t>Entrée/sortie par scan, quantité, motif, confirmation et mode réseau faible.</w:t>
            </w:r>
          </w:p>
        </w:tc>
      </w:tr>
      <w:tr>
        <w:tc>
          <w:tcPr>
            <w:tcW w:type="dxa" w:w="1700"/>
            <w:shd w:fill="FAFBFC"/>
            <w:tcMar>
              <w:top w:w="80" w:type="dxa"/>
              <w:start w:w="120" w:type="dxa"/>
              <w:bottom w:w="80" w:type="dxa"/>
              <w:end w:w="120" w:type="dxa"/>
            </w:tcMar>
            <w:vAlign w:val="top"/>
          </w:tcPr>
          <w:p>
            <w:pPr>
              <w:pStyle w:val="DenseTable"/>
            </w:pPr>
            <w:r>
              <w:rPr>
                <w:rFonts w:ascii="Calibri" w:hAnsi="Calibri"/>
                <w:color w:val="1F2933"/>
                <w:sz w:val="16"/>
              </w:rPr>
              <w:t>Achats et lots</w:t>
            </w:r>
          </w:p>
        </w:tc>
        <w:tc>
          <w:tcPr>
            <w:tcW w:type="dxa" w:w="4080"/>
            <w:shd w:fill="FAFBFC"/>
            <w:tcMar>
              <w:top w:w="80" w:type="dxa"/>
              <w:start w:w="120" w:type="dxa"/>
              <w:bottom w:w="80" w:type="dxa"/>
              <w:end w:w="120" w:type="dxa"/>
            </w:tcMar>
            <w:vAlign w:val="top"/>
          </w:tcPr>
          <w:p>
            <w:pPr>
              <w:pStyle w:val="DenseTable"/>
            </w:pPr>
            <w:r>
              <w:rPr>
                <w:rFonts w:ascii="Calibri" w:hAnsi="Calibri"/>
                <w:color w:val="1F2933"/>
                <w:sz w:val="16"/>
              </w:rPr>
              <w:t>Fournisseurs, commande, réception totale/partielle, lots, dates limites et rappels.</w:t>
            </w:r>
          </w:p>
        </w:tc>
        <w:tc>
          <w:tcPr>
            <w:tcW w:type="dxa" w:w="3580"/>
            <w:shd w:fill="FAFBFC"/>
            <w:tcMar>
              <w:top w:w="80" w:type="dxa"/>
              <w:start w:w="120" w:type="dxa"/>
              <w:bottom w:w="80" w:type="dxa"/>
              <w:end w:w="120" w:type="dxa"/>
            </w:tcMar>
            <w:vAlign w:val="top"/>
          </w:tcPr>
          <w:p>
            <w:pPr>
              <w:pStyle w:val="DenseTable"/>
            </w:pPr>
            <w:r>
              <w:rPr>
                <w:rFonts w:ascii="Calibri" w:hAnsi="Calibri"/>
                <w:color w:val="1F2933"/>
                <w:sz w:val="16"/>
              </w:rPr>
              <w:t>Réception, photo justificative, lot/DLC et consultation des commandes.</w:t>
            </w:r>
          </w:p>
        </w:tc>
      </w:tr>
      <w:tr>
        <w:tc>
          <w:tcPr>
            <w:tcW w:type="dxa" w:w="1700"/>
            <w:tcMar>
              <w:top w:w="80" w:type="dxa"/>
              <w:start w:w="120" w:type="dxa"/>
              <w:bottom w:w="80" w:type="dxa"/>
              <w:end w:w="120" w:type="dxa"/>
            </w:tcMar>
            <w:vAlign w:val="top"/>
          </w:tcPr>
          <w:p>
            <w:pPr>
              <w:pStyle w:val="DenseTable"/>
            </w:pPr>
            <w:r>
              <w:rPr>
                <w:rFonts w:ascii="Calibri" w:hAnsi="Calibri"/>
                <w:color w:val="1F2933"/>
                <w:sz w:val="16"/>
              </w:rPr>
              <w:t>Stérilisation</w:t>
            </w:r>
          </w:p>
        </w:tc>
        <w:tc>
          <w:tcPr>
            <w:tcW w:type="dxa" w:w="4080"/>
            <w:tcMar>
              <w:top w:w="80" w:type="dxa"/>
              <w:start w:w="120" w:type="dxa"/>
              <w:bottom w:w="80" w:type="dxa"/>
              <w:end w:w="120" w:type="dxa"/>
            </w:tcMar>
            <w:vAlign w:val="top"/>
          </w:tcPr>
          <w:p>
            <w:pPr>
              <w:pStyle w:val="DenseTable"/>
            </w:pPr>
            <w:r>
              <w:rPr>
                <w:rFonts w:ascii="Calibri" w:hAnsi="Calibri"/>
                <w:color w:val="1F2933"/>
                <w:sz w:val="16"/>
              </w:rPr>
              <w:t>Cycle manuel, appareil/programme, opérateur, contrôles, résultat, pièces jointes et statut.</w:t>
            </w:r>
          </w:p>
        </w:tc>
        <w:tc>
          <w:tcPr>
            <w:tcW w:type="dxa" w:w="3580"/>
            <w:tcMar>
              <w:top w:w="80" w:type="dxa"/>
              <w:start w:w="120" w:type="dxa"/>
              <w:bottom w:w="80" w:type="dxa"/>
              <w:end w:w="120" w:type="dxa"/>
            </w:tcMar>
            <w:vAlign w:val="top"/>
          </w:tcPr>
          <w:p>
            <w:pPr>
              <w:pStyle w:val="DenseTable"/>
            </w:pPr>
            <w:r>
              <w:rPr>
                <w:rFonts w:ascii="Calibri" w:hAnsi="Calibri"/>
                <w:color w:val="1F2933"/>
                <w:sz w:val="16"/>
              </w:rPr>
              <w:t>Création/validation guidée d’un cycle, photo/rapport et consultation de l’historique.</w:t>
            </w:r>
          </w:p>
        </w:tc>
      </w:tr>
      <w:tr>
        <w:tc>
          <w:tcPr>
            <w:tcW w:type="dxa" w:w="1700"/>
            <w:shd w:fill="FAFBFC"/>
            <w:tcMar>
              <w:top w:w="80" w:type="dxa"/>
              <w:start w:w="120" w:type="dxa"/>
              <w:bottom w:w="80" w:type="dxa"/>
              <w:end w:w="120" w:type="dxa"/>
            </w:tcMar>
            <w:vAlign w:val="top"/>
          </w:tcPr>
          <w:p>
            <w:pPr>
              <w:pStyle w:val="DenseTable"/>
            </w:pPr>
            <w:r>
              <w:rPr>
                <w:rFonts w:ascii="Calibri" w:hAnsi="Calibri"/>
                <w:color w:val="1F2933"/>
                <w:sz w:val="16"/>
              </w:rPr>
              <w:t>Étiquettes et scan</w:t>
            </w:r>
          </w:p>
        </w:tc>
        <w:tc>
          <w:tcPr>
            <w:tcW w:type="dxa" w:w="4080"/>
            <w:shd w:fill="FAFBFC"/>
            <w:tcMar>
              <w:top w:w="80" w:type="dxa"/>
              <w:start w:w="120" w:type="dxa"/>
              <w:bottom w:w="80" w:type="dxa"/>
              <w:end w:w="120" w:type="dxa"/>
            </w:tcMar>
            <w:vAlign w:val="top"/>
          </w:tcPr>
          <w:p>
            <w:pPr>
              <w:pStyle w:val="DenseTable"/>
            </w:pPr>
            <w:r>
              <w:rPr>
                <w:rFonts w:ascii="Calibri" w:hAnsi="Calibri"/>
                <w:color w:val="1F2933"/>
                <w:sz w:val="16"/>
              </w:rPr>
              <w:t>QR Code/DataMatrix unique, modèle simple, aperçu, impression et réimpression justifiée.</w:t>
            </w:r>
          </w:p>
        </w:tc>
        <w:tc>
          <w:tcPr>
            <w:tcW w:type="dxa" w:w="3580"/>
            <w:shd w:fill="FAFBFC"/>
            <w:tcMar>
              <w:top w:w="80" w:type="dxa"/>
              <w:start w:w="120" w:type="dxa"/>
              <w:bottom w:w="80" w:type="dxa"/>
              <w:end w:w="120" w:type="dxa"/>
            </w:tcMar>
            <w:vAlign w:val="top"/>
          </w:tcPr>
          <w:p>
            <w:pPr>
              <w:pStyle w:val="DenseTable"/>
            </w:pPr>
            <w:r>
              <w:rPr>
                <w:rFonts w:ascii="Calibri" w:hAnsi="Calibri"/>
                <w:color w:val="1F2933"/>
                <w:sz w:val="16"/>
              </w:rPr>
              <w:t>Scan d’une étiquette, consultation du lot/cycle et enregistrement d’utilisation.</w:t>
            </w:r>
          </w:p>
        </w:tc>
      </w:tr>
      <w:tr>
        <w:tc>
          <w:tcPr>
            <w:tcW w:type="dxa" w:w="1700"/>
            <w:tcMar>
              <w:top w:w="80" w:type="dxa"/>
              <w:start w:w="120" w:type="dxa"/>
              <w:bottom w:w="80" w:type="dxa"/>
              <w:end w:w="120" w:type="dxa"/>
            </w:tcMar>
            <w:vAlign w:val="top"/>
          </w:tcPr>
          <w:p>
            <w:pPr>
              <w:pStyle w:val="DenseTable"/>
            </w:pPr>
            <w:r>
              <w:rPr>
                <w:rFonts w:ascii="Calibri" w:hAnsi="Calibri"/>
                <w:color w:val="1F2933"/>
                <w:sz w:val="16"/>
              </w:rPr>
              <w:t>Pilotage</w:t>
            </w:r>
          </w:p>
        </w:tc>
        <w:tc>
          <w:tcPr>
            <w:tcW w:type="dxa" w:w="4080"/>
            <w:tcMar>
              <w:top w:w="80" w:type="dxa"/>
              <w:start w:w="120" w:type="dxa"/>
              <w:bottom w:w="80" w:type="dxa"/>
              <w:end w:w="120" w:type="dxa"/>
            </w:tcMar>
            <w:vAlign w:val="top"/>
          </w:tcPr>
          <w:p>
            <w:pPr>
              <w:pStyle w:val="DenseTable"/>
            </w:pPr>
            <w:r>
              <w:rPr>
                <w:rFonts w:ascii="Calibri" w:hAnsi="Calibri"/>
                <w:color w:val="1F2933"/>
                <w:sz w:val="16"/>
              </w:rPr>
              <w:t>Tableau de bord, seuil bas, DLC proche, cycle échoué, inventaire, journal et export CSV/PDF.</w:t>
            </w:r>
          </w:p>
        </w:tc>
        <w:tc>
          <w:tcPr>
            <w:tcW w:type="dxa" w:w="3580"/>
            <w:tcMar>
              <w:top w:w="80" w:type="dxa"/>
              <w:start w:w="120" w:type="dxa"/>
              <w:bottom w:w="80" w:type="dxa"/>
              <w:end w:w="120" w:type="dxa"/>
            </w:tcMar>
            <w:vAlign w:val="top"/>
          </w:tcPr>
          <w:p>
            <w:pPr>
              <w:pStyle w:val="DenseTable"/>
            </w:pPr>
            <w:r>
              <w:rPr>
                <w:rFonts w:ascii="Calibri" w:hAnsi="Calibri"/>
                <w:color w:val="1F2933"/>
                <w:sz w:val="16"/>
              </w:rPr>
              <w:t>Alertes essentielles, indicateurs courts et historique filtrable.</w:t>
            </w:r>
          </w:p>
        </w:tc>
      </w:tr>
    </w:tbl>
    <w:p>
      <w:pPr>
        <w:pStyle w:val="Heading1"/>
      </w:pPr>
      <w:r>
        <w:t>5. Parcours principal à démontrer</w:t>
      </w:r>
    </w:p>
    <w:p>
      <w:pPr>
        <w:pStyle w:val="NumberCompact"/>
        <w:numPr>
          <w:ilvl w:val="0"/>
          <w:numId w:val="71"/>
        </w:numPr>
      </w:pPr>
      <w:r>
        <w:rPr>
          <w:rFonts w:ascii="Calibri" w:hAnsi="Calibri"/>
          <w:color w:val="1F2933"/>
          <w:sz w:val="21"/>
        </w:rPr>
        <w:t>Créer un cabinet, un administrateur et un assistant avec des droits différents.</w:t>
      </w:r>
    </w:p>
    <w:p>
      <w:pPr>
        <w:pStyle w:val="NumberCompact"/>
        <w:numPr>
          <w:ilvl w:val="0"/>
          <w:numId w:val="71"/>
        </w:numPr>
      </w:pPr>
      <w:r>
        <w:rPr>
          <w:rFonts w:ascii="Calibri" w:hAnsi="Calibri"/>
          <w:color w:val="1F2933"/>
          <w:sz w:val="21"/>
        </w:rPr>
        <w:t>Créer un produit et un fournisseur, passer une commande puis réceptionner un lot avec DLC.</w:t>
      </w:r>
    </w:p>
    <w:p>
      <w:pPr>
        <w:pStyle w:val="NumberCompact"/>
        <w:numPr>
          <w:ilvl w:val="0"/>
          <w:numId w:val="71"/>
        </w:numPr>
      </w:pPr>
      <w:r>
        <w:rPr>
          <w:rFonts w:ascii="Calibri" w:hAnsi="Calibri"/>
          <w:color w:val="1F2933"/>
          <w:sz w:val="21"/>
        </w:rPr>
        <w:t>Imprimer une étiquette, la scanner sur mobile et enregistrer une sortie sans double comptage.</w:t>
      </w:r>
    </w:p>
    <w:p>
      <w:pPr>
        <w:pStyle w:val="NumberCompact"/>
        <w:numPr>
          <w:ilvl w:val="0"/>
          <w:numId w:val="71"/>
        </w:numPr>
      </w:pPr>
      <w:r>
        <w:rPr>
          <w:rFonts w:ascii="Calibri" w:hAnsi="Calibri"/>
          <w:color w:val="1F2933"/>
          <w:sz w:val="21"/>
        </w:rPr>
        <w:t>Créer et valider un cycle de stérilisation ; conserver les contrôles, la pièce jointe et l’opérateur.</w:t>
      </w:r>
    </w:p>
    <w:p>
      <w:pPr>
        <w:pStyle w:val="NumberCompact"/>
        <w:numPr>
          <w:ilvl w:val="0"/>
          <w:numId w:val="71"/>
        </w:numPr>
      </w:pPr>
      <w:r>
        <w:rPr>
          <w:rFonts w:ascii="Calibri" w:hAnsi="Calibri"/>
          <w:color w:val="1F2933"/>
          <w:sz w:val="21"/>
        </w:rPr>
        <w:t>Déclencher une alerte de stock/DLC, consulter l’audit puis exporter un rapport.</w:t>
      </w:r>
    </w:p>
    <w:p>
      <w:pPr>
        <w:pStyle w:val="NumberCompact"/>
        <w:numPr>
          <w:ilvl w:val="0"/>
          <w:numId w:val="71"/>
        </w:numPr>
      </w:pPr>
      <w:r>
        <w:rPr>
          <w:rFonts w:ascii="Calibri" w:hAnsi="Calibri"/>
          <w:color w:val="1F2933"/>
          <w:sz w:val="21"/>
        </w:rPr>
        <w:t>Vérifier que la même donnée apparaît correctement sur web et mobile.</w:t>
      </w:r>
    </w:p>
    <w:p>
      <w:pPr>
        <w:pStyle w:val="Heading1"/>
      </w:pPr>
      <w:r>
        <w:t>6. Livrables attendus</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900"/>
        <w:gridCol w:w="7460"/>
      </w:tblGrid>
      <w:tr>
        <w:trPr>
          <w:tblHeader w:val="true"/>
        </w:trPr>
        <w:tc>
          <w:tcPr>
            <w:tcW w:type="dxa" w:w="1900"/>
            <w:shd w:fill="E8EEF5"/>
            <w:tcMar>
              <w:top w:w="90" w:type="dxa"/>
              <w:start w:w="120" w:type="dxa"/>
              <w:bottom w:w="90" w:type="dxa"/>
              <w:end w:w="120" w:type="dxa"/>
            </w:tcMar>
            <w:vAlign w:val="center"/>
          </w:tcPr>
          <w:p>
            <w:pPr>
              <w:pStyle w:val="DenseTable"/>
            </w:pPr>
            <w:r>
              <w:rPr>
                <w:rFonts w:ascii="Calibri" w:hAnsi="Calibri"/>
                <w:b/>
                <w:color w:val="0B2545"/>
                <w:sz w:val="17"/>
              </w:rPr>
              <w:t>Livrable</w:t>
            </w:r>
          </w:p>
        </w:tc>
        <w:tc>
          <w:tcPr>
            <w:tcW w:type="dxa" w:w="7460"/>
            <w:shd w:fill="E8EEF5"/>
            <w:tcMar>
              <w:top w:w="90" w:type="dxa"/>
              <w:start w:w="120" w:type="dxa"/>
              <w:bottom w:w="90" w:type="dxa"/>
              <w:end w:w="120" w:type="dxa"/>
            </w:tcMar>
            <w:vAlign w:val="center"/>
          </w:tcPr>
          <w:p>
            <w:pPr>
              <w:pStyle w:val="DenseTable"/>
            </w:pPr>
            <w:r>
              <w:rPr>
                <w:rFonts w:ascii="Calibri" w:hAnsi="Calibri"/>
                <w:b/>
                <w:color w:val="0B2545"/>
                <w:sz w:val="17"/>
              </w:rPr>
              <w:t>Contenu minimal</w:t>
            </w:r>
          </w:p>
        </w:tc>
      </w:tr>
      <w:tr>
        <w:tc>
          <w:tcPr>
            <w:tcW w:type="dxa" w:w="1900"/>
            <w:tcMar>
              <w:top w:w="80" w:type="dxa"/>
              <w:start w:w="120" w:type="dxa"/>
              <w:bottom w:w="80" w:type="dxa"/>
              <w:end w:w="120" w:type="dxa"/>
            </w:tcMar>
            <w:vAlign w:val="top"/>
          </w:tcPr>
          <w:p>
            <w:pPr>
              <w:pStyle w:val="DenseTable"/>
            </w:pPr>
            <w:r>
              <w:rPr>
                <w:rFonts w:ascii="Calibri" w:hAnsi="Calibri"/>
                <w:color w:val="1F2933"/>
                <w:sz w:val="17"/>
              </w:rPr>
              <w:t>Produit</w:t>
            </w:r>
          </w:p>
        </w:tc>
        <w:tc>
          <w:tcPr>
            <w:tcW w:type="dxa" w:w="7460"/>
            <w:tcMar>
              <w:top w:w="80" w:type="dxa"/>
              <w:start w:w="120" w:type="dxa"/>
              <w:bottom w:w="80" w:type="dxa"/>
              <w:end w:w="120" w:type="dxa"/>
            </w:tcMar>
            <w:vAlign w:val="top"/>
          </w:tcPr>
          <w:p>
            <w:pPr>
              <w:pStyle w:val="DenseTable"/>
            </w:pPr>
            <w:r>
              <w:rPr>
                <w:rFonts w:ascii="Calibri" w:hAnsi="Calibri"/>
                <w:color w:val="1F2933"/>
                <w:sz w:val="17"/>
              </w:rPr>
              <w:t>Web responsive, applications Android/iOS compilables, API et base de données versionnée.</w:t>
            </w:r>
          </w:p>
        </w:tc>
      </w:tr>
      <w:tr>
        <w:tc>
          <w:tcPr>
            <w:tcW w:type="dxa" w:w="1900"/>
            <w:shd w:fill="FAFBFC"/>
            <w:tcMar>
              <w:top w:w="80" w:type="dxa"/>
              <w:start w:w="120" w:type="dxa"/>
              <w:bottom w:w="80" w:type="dxa"/>
              <w:end w:w="120" w:type="dxa"/>
            </w:tcMar>
            <w:vAlign w:val="top"/>
          </w:tcPr>
          <w:p>
            <w:pPr>
              <w:pStyle w:val="DenseTable"/>
            </w:pPr>
            <w:r>
              <w:rPr>
                <w:rFonts w:ascii="Calibri" w:hAnsi="Calibri"/>
                <w:color w:val="1F2933"/>
                <w:sz w:val="17"/>
              </w:rPr>
              <w:t>Code</w:t>
            </w:r>
          </w:p>
        </w:tc>
        <w:tc>
          <w:tcPr>
            <w:tcW w:type="dxa" w:w="7460"/>
            <w:shd w:fill="FAFBFC"/>
            <w:tcMar>
              <w:top w:w="80" w:type="dxa"/>
              <w:start w:w="120" w:type="dxa"/>
              <w:bottom w:w="80" w:type="dxa"/>
              <w:end w:w="120" w:type="dxa"/>
            </w:tcMar>
            <w:vAlign w:val="top"/>
          </w:tcPr>
          <w:p>
            <w:pPr>
              <w:pStyle w:val="DenseTable"/>
            </w:pPr>
            <w:r>
              <w:rPr>
                <w:rFonts w:ascii="Calibri" w:hAnsi="Calibri"/>
                <w:color w:val="1F2933"/>
                <w:sz w:val="17"/>
              </w:rPr>
              <w:t>Dépôts privés, historique Git propre, branches/PR, configuration sans secrets et licence clarifiée.</w:t>
            </w:r>
          </w:p>
        </w:tc>
      </w:tr>
      <w:tr>
        <w:tc>
          <w:tcPr>
            <w:tcW w:type="dxa" w:w="1900"/>
            <w:tcMar>
              <w:top w:w="80" w:type="dxa"/>
              <w:start w:w="120" w:type="dxa"/>
              <w:bottom w:w="80" w:type="dxa"/>
              <w:end w:w="120" w:type="dxa"/>
            </w:tcMar>
            <w:vAlign w:val="top"/>
          </w:tcPr>
          <w:p>
            <w:pPr>
              <w:pStyle w:val="DenseTable"/>
            </w:pPr>
            <w:r>
              <w:rPr>
                <w:rFonts w:ascii="Calibri" w:hAnsi="Calibri"/>
                <w:color w:val="1F2933"/>
                <w:sz w:val="17"/>
              </w:rPr>
              <w:t>Conception</w:t>
            </w:r>
          </w:p>
        </w:tc>
        <w:tc>
          <w:tcPr>
            <w:tcW w:type="dxa" w:w="7460"/>
            <w:tcMar>
              <w:top w:w="80" w:type="dxa"/>
              <w:start w:w="120" w:type="dxa"/>
              <w:bottom w:w="80" w:type="dxa"/>
              <w:end w:w="120" w:type="dxa"/>
            </w:tcMar>
            <w:vAlign w:val="top"/>
          </w:tcPr>
          <w:p>
            <w:pPr>
              <w:pStyle w:val="DenseTable"/>
            </w:pPr>
            <w:r>
              <w:rPr>
                <w:rFonts w:ascii="Calibri" w:hAnsi="Calibri"/>
                <w:color w:val="1F2933"/>
                <w:sz w:val="17"/>
              </w:rPr>
              <w:t>Parcours, maquettes essentielles, schéma d’architecture, modèle de données et OpenAPI/Swagger.</w:t>
            </w:r>
          </w:p>
        </w:tc>
      </w:tr>
      <w:tr>
        <w:tc>
          <w:tcPr>
            <w:tcW w:type="dxa" w:w="1900"/>
            <w:shd w:fill="FAFBFC"/>
            <w:tcMar>
              <w:top w:w="80" w:type="dxa"/>
              <w:start w:w="120" w:type="dxa"/>
              <w:bottom w:w="80" w:type="dxa"/>
              <w:end w:w="120" w:type="dxa"/>
            </w:tcMar>
            <w:vAlign w:val="top"/>
          </w:tcPr>
          <w:p>
            <w:pPr>
              <w:pStyle w:val="DenseTable"/>
            </w:pPr>
            <w:r>
              <w:rPr>
                <w:rFonts w:ascii="Calibri" w:hAnsi="Calibri"/>
                <w:color w:val="1F2933"/>
                <w:sz w:val="17"/>
              </w:rPr>
              <w:t>Qualité</w:t>
            </w:r>
          </w:p>
        </w:tc>
        <w:tc>
          <w:tcPr>
            <w:tcW w:type="dxa" w:w="7460"/>
            <w:shd w:fill="FAFBFC"/>
            <w:tcMar>
              <w:top w:w="80" w:type="dxa"/>
              <w:start w:w="120" w:type="dxa"/>
              <w:bottom w:w="80" w:type="dxa"/>
              <w:end w:w="120" w:type="dxa"/>
            </w:tcMar>
            <w:vAlign w:val="top"/>
          </w:tcPr>
          <w:p>
            <w:pPr>
              <w:pStyle w:val="DenseTable"/>
            </w:pPr>
            <w:r>
              <w:rPr>
                <w:rFonts w:ascii="Calibri" w:hAnsi="Calibri"/>
                <w:color w:val="1F2933"/>
                <w:sz w:val="17"/>
              </w:rPr>
              <w:t>Tests unitaires critiques, tests API, parcours end-to-end principal, rapport d’anomalies et recette.</w:t>
            </w:r>
          </w:p>
        </w:tc>
      </w:tr>
      <w:tr>
        <w:tc>
          <w:tcPr>
            <w:tcW w:type="dxa" w:w="1900"/>
            <w:tcMar>
              <w:top w:w="80" w:type="dxa"/>
              <w:start w:w="120" w:type="dxa"/>
              <w:bottom w:w="80" w:type="dxa"/>
              <w:end w:w="120" w:type="dxa"/>
            </w:tcMar>
            <w:vAlign w:val="top"/>
          </w:tcPr>
          <w:p>
            <w:pPr>
              <w:pStyle w:val="DenseTable"/>
            </w:pPr>
            <w:r>
              <w:rPr>
                <w:rFonts w:ascii="Calibri" w:hAnsi="Calibri"/>
                <w:color w:val="1F2933"/>
                <w:sz w:val="17"/>
              </w:rPr>
              <w:t>Exploitation</w:t>
            </w:r>
          </w:p>
        </w:tc>
        <w:tc>
          <w:tcPr>
            <w:tcW w:type="dxa" w:w="7460"/>
            <w:tcMar>
              <w:top w:w="80" w:type="dxa"/>
              <w:start w:w="120" w:type="dxa"/>
              <w:bottom w:w="80" w:type="dxa"/>
              <w:end w:w="120" w:type="dxa"/>
            </w:tcMar>
            <w:vAlign w:val="top"/>
          </w:tcPr>
          <w:p>
            <w:pPr>
              <w:pStyle w:val="DenseTable"/>
            </w:pPr>
            <w:r>
              <w:rPr>
                <w:rFonts w:ascii="Calibri" w:hAnsi="Calibri"/>
                <w:color w:val="1F2933"/>
                <w:sz w:val="17"/>
              </w:rPr>
              <w:t>Docker, staging, production, CI/CD, logs, monitoring minimal, sauvegarde et restauration testée.</w:t>
            </w:r>
          </w:p>
        </w:tc>
      </w:tr>
      <w:tr>
        <w:tc>
          <w:tcPr>
            <w:tcW w:type="dxa" w:w="1900"/>
            <w:shd w:fill="FAFBFC"/>
            <w:tcMar>
              <w:top w:w="80" w:type="dxa"/>
              <w:start w:w="120" w:type="dxa"/>
              <w:bottom w:w="80" w:type="dxa"/>
              <w:end w:w="120" w:type="dxa"/>
            </w:tcMar>
            <w:vAlign w:val="top"/>
          </w:tcPr>
          <w:p>
            <w:pPr>
              <w:pStyle w:val="DenseTable"/>
            </w:pPr>
            <w:r>
              <w:rPr>
                <w:rFonts w:ascii="Calibri" w:hAnsi="Calibri"/>
                <w:color w:val="1F2933"/>
                <w:sz w:val="17"/>
              </w:rPr>
              <w:t>Transmission</w:t>
            </w:r>
          </w:p>
        </w:tc>
        <w:tc>
          <w:tcPr>
            <w:tcW w:type="dxa" w:w="7460"/>
            <w:shd w:fill="FAFBFC"/>
            <w:tcMar>
              <w:top w:w="80" w:type="dxa"/>
              <w:start w:w="120" w:type="dxa"/>
              <w:bottom w:w="80" w:type="dxa"/>
              <w:end w:w="120" w:type="dxa"/>
            </w:tcMar>
            <w:vAlign w:val="top"/>
          </w:tcPr>
          <w:p>
            <w:pPr>
              <w:pStyle w:val="DenseTable"/>
            </w:pPr>
            <w:r>
              <w:rPr>
                <w:rFonts w:ascii="Calibri" w:hAnsi="Calibri"/>
                <w:color w:val="1F2933"/>
                <w:sz w:val="17"/>
              </w:rPr>
              <w:t>README, installation, variables, déploiement, comptes de démonstration et guide utilisateur court.</w:t>
            </w:r>
          </w:p>
        </w:tc>
      </w:tr>
    </w:tbl>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FFF8E5"/>
            <w:tcMar>
              <w:top w:w="100" w:type="dxa"/>
              <w:start w:w="150" w:type="dxa"/>
              <w:bottom w:w="100" w:type="dxa"/>
              <w:end w:w="150" w:type="dxa"/>
            </w:tcMar>
          </w:tcPr>
          <w:p>
            <w:pPr>
              <w:pStyle w:val="CalloutText"/>
            </w:pPr>
            <w:r>
              <w:rPr>
                <w:rFonts w:ascii="Calibri" w:hAnsi="Calibri"/>
                <w:b/>
                <w:color w:val="7A5A00"/>
                <w:sz w:val="20"/>
              </w:rPr>
              <w:t xml:space="preserve">PROPRIÉTÉ ET ACCÈS  </w:t>
            </w:r>
            <w:r>
              <w:rPr>
                <w:rFonts w:ascii="Calibri" w:hAnsi="Calibri"/>
                <w:color w:val="1F2933"/>
                <w:sz w:val="20"/>
              </w:rPr>
              <w:t>Le porteur du projet doit conserver l’accès administrateur aux dépôts, au cloud, aux domaines, aux comptes stores, à la base de données et aux sauvegardes. Aucun composant critique ne doit dépendre d’un compte personnel du binôme.</w:t>
            </w:r>
          </w:p>
        </w:tc>
      </w:tr>
    </w:tbl>
    <w:p>
      <w:r>
        <w:br w:type="page"/>
      </w:r>
    </w:p>
    <w:p>
      <w:pPr>
        <w:pStyle w:val="Heading1"/>
      </w:pPr>
      <w:r>
        <w:t>7. Architecture et exigences techniques</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850"/>
        <w:gridCol w:w="7510"/>
      </w:tblGrid>
      <w:tr>
        <w:trPr>
          <w:tblHeader w:val="true"/>
        </w:trPr>
        <w:tc>
          <w:tcPr>
            <w:tcW w:type="dxa" w:w="1850"/>
            <w:shd w:fill="E8EEF5"/>
            <w:tcMar>
              <w:top w:w="90" w:type="dxa"/>
              <w:start w:w="120" w:type="dxa"/>
              <w:bottom w:w="90" w:type="dxa"/>
              <w:end w:w="120" w:type="dxa"/>
            </w:tcMar>
            <w:vAlign w:val="center"/>
          </w:tcPr>
          <w:p>
            <w:pPr>
              <w:pStyle w:val="DenseTable"/>
            </w:pPr>
            <w:r>
              <w:rPr>
                <w:rFonts w:ascii="Calibri" w:hAnsi="Calibri"/>
                <w:b/>
                <w:color w:val="0B2545"/>
                <w:sz w:val="17"/>
              </w:rPr>
              <w:t>Couche</w:t>
            </w:r>
          </w:p>
        </w:tc>
        <w:tc>
          <w:tcPr>
            <w:tcW w:type="dxa" w:w="7510"/>
            <w:shd w:fill="E8EEF5"/>
            <w:tcMar>
              <w:top w:w="90" w:type="dxa"/>
              <w:start w:w="120" w:type="dxa"/>
              <w:bottom w:w="90" w:type="dxa"/>
              <w:end w:w="120" w:type="dxa"/>
            </w:tcMar>
            <w:vAlign w:val="center"/>
          </w:tcPr>
          <w:p>
            <w:pPr>
              <w:pStyle w:val="DenseTable"/>
            </w:pPr>
            <w:r>
              <w:rPr>
                <w:rFonts w:ascii="Calibri" w:hAnsi="Calibri"/>
                <w:b/>
                <w:color w:val="0B2545"/>
                <w:sz w:val="17"/>
              </w:rPr>
              <w:t>Choix de référence à confirmer au démarrage</w:t>
            </w:r>
          </w:p>
        </w:tc>
      </w:tr>
      <w:tr>
        <w:tc>
          <w:tcPr>
            <w:tcW w:type="dxa" w:w="1850"/>
            <w:tcMar>
              <w:top w:w="80" w:type="dxa"/>
              <w:start w:w="120" w:type="dxa"/>
              <w:bottom w:w="80" w:type="dxa"/>
              <w:end w:w="120" w:type="dxa"/>
            </w:tcMar>
            <w:vAlign w:val="top"/>
          </w:tcPr>
          <w:p>
            <w:pPr>
              <w:pStyle w:val="DenseTable"/>
            </w:pPr>
            <w:r>
              <w:rPr>
                <w:rFonts w:ascii="Calibri" w:hAnsi="Calibri"/>
                <w:color w:val="1F2933"/>
                <w:sz w:val="17"/>
              </w:rPr>
              <w:t>Backend</w:t>
            </w:r>
          </w:p>
        </w:tc>
        <w:tc>
          <w:tcPr>
            <w:tcW w:type="dxa" w:w="7510"/>
            <w:tcMar>
              <w:top w:w="80" w:type="dxa"/>
              <w:start w:w="120" w:type="dxa"/>
              <w:bottom w:w="80" w:type="dxa"/>
              <w:end w:w="120" w:type="dxa"/>
            </w:tcMar>
            <w:vAlign w:val="top"/>
          </w:tcPr>
          <w:p>
            <w:pPr>
              <w:pStyle w:val="DenseTable"/>
            </w:pPr>
            <w:r>
              <w:rPr>
                <w:rFonts w:ascii="Calibri" w:hAnsi="Calibri"/>
                <w:color w:val="1F2933"/>
                <w:sz w:val="17"/>
              </w:rPr>
              <w:t>API REST modulaire (Laravel ou NestJS), documentation OpenAPI, tâches asynchrones et validation serveur.</w:t>
            </w:r>
          </w:p>
        </w:tc>
      </w:tr>
      <w:tr>
        <w:tc>
          <w:tcPr>
            <w:tcW w:type="dxa" w:w="1850"/>
            <w:shd w:fill="FAFBFC"/>
            <w:tcMar>
              <w:top w:w="80" w:type="dxa"/>
              <w:start w:w="120" w:type="dxa"/>
              <w:bottom w:w="80" w:type="dxa"/>
              <w:end w:w="120" w:type="dxa"/>
            </w:tcMar>
            <w:vAlign w:val="top"/>
          </w:tcPr>
          <w:p>
            <w:pPr>
              <w:pStyle w:val="DenseTable"/>
            </w:pPr>
            <w:r>
              <w:rPr>
                <w:rFonts w:ascii="Calibri" w:hAnsi="Calibri"/>
                <w:color w:val="1F2933"/>
                <w:sz w:val="17"/>
              </w:rPr>
              <w:t>Web</w:t>
            </w:r>
          </w:p>
        </w:tc>
        <w:tc>
          <w:tcPr>
            <w:tcW w:type="dxa" w:w="7510"/>
            <w:shd w:fill="FAFBFC"/>
            <w:tcMar>
              <w:top w:w="80" w:type="dxa"/>
              <w:start w:w="120" w:type="dxa"/>
              <w:bottom w:w="80" w:type="dxa"/>
              <w:end w:w="120" w:type="dxa"/>
            </w:tcMar>
            <w:vAlign w:val="top"/>
          </w:tcPr>
          <w:p>
            <w:pPr>
              <w:pStyle w:val="DenseTable"/>
            </w:pPr>
            <w:r>
              <w:rPr>
                <w:rFonts w:ascii="Calibri" w:hAnsi="Calibri"/>
                <w:color w:val="1F2933"/>
                <w:sz w:val="17"/>
              </w:rPr>
              <w:t>React/Next.js pour l’administration ; interface responsive, formulaires robustes et états erreur/chargement.</w:t>
            </w:r>
          </w:p>
        </w:tc>
      </w:tr>
      <w:tr>
        <w:tc>
          <w:tcPr>
            <w:tcW w:type="dxa" w:w="1850"/>
            <w:tcMar>
              <w:top w:w="80" w:type="dxa"/>
              <w:start w:w="120" w:type="dxa"/>
              <w:bottom w:w="80" w:type="dxa"/>
              <w:end w:w="120" w:type="dxa"/>
            </w:tcMar>
            <w:vAlign w:val="top"/>
          </w:tcPr>
          <w:p>
            <w:pPr>
              <w:pStyle w:val="DenseTable"/>
            </w:pPr>
            <w:r>
              <w:rPr>
                <w:rFonts w:ascii="Calibri" w:hAnsi="Calibri"/>
                <w:color w:val="1F2933"/>
                <w:sz w:val="17"/>
              </w:rPr>
              <w:t>Mobile</w:t>
            </w:r>
          </w:p>
        </w:tc>
        <w:tc>
          <w:tcPr>
            <w:tcW w:type="dxa" w:w="7510"/>
            <w:tcMar>
              <w:top w:w="80" w:type="dxa"/>
              <w:start w:w="120" w:type="dxa"/>
              <w:bottom w:w="80" w:type="dxa"/>
              <w:end w:w="120" w:type="dxa"/>
            </w:tcMar>
            <w:vAlign w:val="top"/>
          </w:tcPr>
          <w:p>
            <w:pPr>
              <w:pStyle w:val="DenseTable"/>
            </w:pPr>
            <w:r>
              <w:rPr>
                <w:rFonts w:ascii="Calibri" w:hAnsi="Calibri"/>
                <w:color w:val="1F2933"/>
                <w:sz w:val="17"/>
              </w:rPr>
              <w:t>Flutter Android/iOS ; même API, scan caméra, notifications et file locale limitée en cas de réseau faible.</w:t>
            </w:r>
          </w:p>
        </w:tc>
      </w:tr>
      <w:tr>
        <w:tc>
          <w:tcPr>
            <w:tcW w:type="dxa" w:w="1850"/>
            <w:shd w:fill="FAFBFC"/>
            <w:tcMar>
              <w:top w:w="80" w:type="dxa"/>
              <w:start w:w="120" w:type="dxa"/>
              <w:bottom w:w="80" w:type="dxa"/>
              <w:end w:w="120" w:type="dxa"/>
            </w:tcMar>
            <w:vAlign w:val="top"/>
          </w:tcPr>
          <w:p>
            <w:pPr>
              <w:pStyle w:val="DenseTable"/>
            </w:pPr>
            <w:r>
              <w:rPr>
                <w:rFonts w:ascii="Calibri" w:hAnsi="Calibri"/>
                <w:color w:val="1F2933"/>
                <w:sz w:val="17"/>
              </w:rPr>
              <w:t>Données</w:t>
            </w:r>
          </w:p>
        </w:tc>
        <w:tc>
          <w:tcPr>
            <w:tcW w:type="dxa" w:w="7510"/>
            <w:shd w:fill="FAFBFC"/>
            <w:tcMar>
              <w:top w:w="80" w:type="dxa"/>
              <w:start w:w="120" w:type="dxa"/>
              <w:bottom w:w="80" w:type="dxa"/>
              <w:end w:w="120" w:type="dxa"/>
            </w:tcMar>
            <w:vAlign w:val="top"/>
          </w:tcPr>
          <w:p>
            <w:pPr>
              <w:pStyle w:val="DenseTable"/>
            </w:pPr>
            <w:r>
              <w:rPr>
                <w:rFonts w:ascii="Calibri" w:hAnsi="Calibri"/>
                <w:color w:val="1F2933"/>
                <w:sz w:val="17"/>
              </w:rPr>
              <w:t>PostgreSQL, migrations, contraintes d’intégrité, stockage objet pour pièces jointes et sauvegardes chiffrées.</w:t>
            </w:r>
          </w:p>
        </w:tc>
      </w:tr>
      <w:tr>
        <w:tc>
          <w:tcPr>
            <w:tcW w:type="dxa" w:w="1850"/>
            <w:tcMar>
              <w:top w:w="80" w:type="dxa"/>
              <w:start w:w="120" w:type="dxa"/>
              <w:bottom w:w="80" w:type="dxa"/>
              <w:end w:w="120" w:type="dxa"/>
            </w:tcMar>
            <w:vAlign w:val="top"/>
          </w:tcPr>
          <w:p>
            <w:pPr>
              <w:pStyle w:val="DenseTable"/>
            </w:pPr>
            <w:r>
              <w:rPr>
                <w:rFonts w:ascii="Calibri" w:hAnsi="Calibri"/>
                <w:color w:val="1F2933"/>
                <w:sz w:val="17"/>
              </w:rPr>
              <w:t>Infrastructure</w:t>
            </w:r>
          </w:p>
        </w:tc>
        <w:tc>
          <w:tcPr>
            <w:tcW w:type="dxa" w:w="7510"/>
            <w:tcMar>
              <w:top w:w="80" w:type="dxa"/>
              <w:start w:w="120" w:type="dxa"/>
              <w:bottom w:w="80" w:type="dxa"/>
              <w:end w:w="120" w:type="dxa"/>
            </w:tcMar>
            <w:vAlign w:val="top"/>
          </w:tcPr>
          <w:p>
            <w:pPr>
              <w:pStyle w:val="DenseTable"/>
            </w:pPr>
            <w:r>
              <w:rPr>
                <w:rFonts w:ascii="Calibri" w:hAnsi="Calibri"/>
                <w:color w:val="1F2933"/>
                <w:sz w:val="17"/>
              </w:rPr>
              <w:t>Docker, staging/production séparés, CI/CD, HTTPS, gestionnaire de secrets, logs et monitoring.</w:t>
            </w:r>
          </w:p>
        </w:tc>
      </w:tr>
      <w:tr>
        <w:tc>
          <w:tcPr>
            <w:tcW w:type="dxa" w:w="1850"/>
            <w:shd w:fill="FAFBFC"/>
            <w:tcMar>
              <w:top w:w="80" w:type="dxa"/>
              <w:start w:w="120" w:type="dxa"/>
              <w:bottom w:w="80" w:type="dxa"/>
              <w:end w:w="120" w:type="dxa"/>
            </w:tcMar>
            <w:vAlign w:val="top"/>
          </w:tcPr>
          <w:p>
            <w:pPr>
              <w:pStyle w:val="DenseTable"/>
            </w:pPr>
            <w:r>
              <w:rPr>
                <w:rFonts w:ascii="Calibri" w:hAnsi="Calibri"/>
                <w:color w:val="1F2933"/>
                <w:sz w:val="17"/>
              </w:rPr>
              <w:t>Connecteurs</w:t>
            </w:r>
          </w:p>
        </w:tc>
        <w:tc>
          <w:tcPr>
            <w:tcW w:type="dxa" w:w="7510"/>
            <w:shd w:fill="FAFBFC"/>
            <w:tcMar>
              <w:top w:w="80" w:type="dxa"/>
              <w:start w:w="120" w:type="dxa"/>
              <w:bottom w:w="80" w:type="dxa"/>
              <w:end w:w="120" w:type="dxa"/>
            </w:tcMar>
            <w:vAlign w:val="top"/>
          </w:tcPr>
          <w:p>
            <w:pPr>
              <w:pStyle w:val="DenseTable"/>
            </w:pPr>
            <w:r>
              <w:rPr>
                <w:rFonts w:ascii="Calibri" w:hAnsi="Calibri"/>
                <w:color w:val="1F2933"/>
                <w:sz w:val="17"/>
              </w:rPr>
              <w:t>Adaptateurs isolés, OAuth2/API keys côté serveur, webhooks idempotents, mocks et tests contractuels.</w:t>
            </w:r>
          </w:p>
        </w:tc>
      </w:tr>
    </w:tbl>
    <w:p>
      <w:pPr>
        <w:pStyle w:val="Heading1"/>
      </w:pPr>
      <w:r>
        <w:t>8. Exigences non fonctionnelles</w:t>
      </w:r>
    </w:p>
    <w:p>
      <w:pPr>
        <w:pStyle w:val="BulletCompact"/>
        <w:numPr>
          <w:ilvl w:val="0"/>
          <w:numId w:val="70"/>
        </w:numPr>
      </w:pPr>
      <w:r>
        <w:rPr>
          <w:rFonts w:ascii="Calibri" w:hAnsi="Calibri"/>
          <w:b/>
          <w:color w:val="1F2933"/>
          <w:sz w:val="21"/>
        </w:rPr>
        <w:t>Sécurité :</w:t>
      </w:r>
      <w:r>
        <w:rPr>
          <w:rFonts w:ascii="Calibri" w:hAnsi="Calibri"/>
          <w:color w:val="1F2933"/>
          <w:sz w:val="21"/>
        </w:rPr>
        <w:t xml:space="preserve"> isolation stricte des cabinets, permissions côté serveur, HTTPS, secrets hors code, validation des entrées et protections OWASP.</w:t>
      </w:r>
    </w:p>
    <w:p>
      <w:pPr>
        <w:pStyle w:val="BulletCompact"/>
        <w:numPr>
          <w:ilvl w:val="0"/>
          <w:numId w:val="70"/>
        </w:numPr>
      </w:pPr>
      <w:r>
        <w:rPr>
          <w:rFonts w:ascii="Calibri" w:hAnsi="Calibri"/>
          <w:b/>
          <w:color w:val="1F2933"/>
          <w:sz w:val="21"/>
        </w:rPr>
        <w:t>Traçabilité :</w:t>
      </w:r>
      <w:r>
        <w:rPr>
          <w:rFonts w:ascii="Calibri" w:hAnsi="Calibri"/>
          <w:color w:val="1F2933"/>
          <w:sz w:val="21"/>
        </w:rPr>
        <w:t xml:space="preserve"> aucune suppression silencieuse d’une preuve ; correction et réimpression avec motif, auteur et historique.</w:t>
      </w:r>
    </w:p>
    <w:p>
      <w:pPr>
        <w:pStyle w:val="BulletCompact"/>
        <w:numPr>
          <w:ilvl w:val="0"/>
          <w:numId w:val="70"/>
        </w:numPr>
      </w:pPr>
      <w:r>
        <w:rPr>
          <w:rFonts w:ascii="Calibri" w:hAnsi="Calibri"/>
          <w:b/>
          <w:color w:val="1F2933"/>
          <w:sz w:val="21"/>
        </w:rPr>
        <w:t>Fiabilité :</w:t>
      </w:r>
      <w:r>
        <w:rPr>
          <w:rFonts w:ascii="Calibri" w:hAnsi="Calibri"/>
          <w:color w:val="1F2933"/>
          <w:sz w:val="21"/>
        </w:rPr>
        <w:t xml:space="preserve"> opérations critiques transactionnelles et idempotentes pour éviter doubles réceptions, scans ou validations.</w:t>
      </w:r>
    </w:p>
    <w:p>
      <w:pPr>
        <w:pStyle w:val="BulletCompact"/>
        <w:numPr>
          <w:ilvl w:val="0"/>
          <w:numId w:val="70"/>
        </w:numPr>
      </w:pPr>
      <w:r>
        <w:rPr>
          <w:rFonts w:ascii="Calibri" w:hAnsi="Calibri"/>
          <w:b/>
          <w:color w:val="1F2933"/>
          <w:sz w:val="21"/>
        </w:rPr>
        <w:t>Performance cible :</w:t>
      </w:r>
      <w:r>
        <w:rPr>
          <w:rFonts w:ascii="Calibri" w:hAnsi="Calibri"/>
          <w:color w:val="1F2933"/>
          <w:sz w:val="21"/>
        </w:rPr>
        <w:t xml:space="preserve"> écrans courants sous 2 secondes sur connexion correcte ; listes paginées et fichiers optimisés.</w:t>
      </w:r>
    </w:p>
    <w:p>
      <w:pPr>
        <w:pStyle w:val="BulletCompact"/>
        <w:numPr>
          <w:ilvl w:val="0"/>
          <w:numId w:val="70"/>
        </w:numPr>
      </w:pPr>
      <w:r>
        <w:rPr>
          <w:rFonts w:ascii="Calibri" w:hAnsi="Calibri"/>
          <w:b/>
          <w:color w:val="1F2933"/>
          <w:sz w:val="21"/>
        </w:rPr>
        <w:t>Confidentialité :</w:t>
      </w:r>
      <w:r>
        <w:rPr>
          <w:rFonts w:ascii="Calibri" w:hAnsi="Calibri"/>
          <w:color w:val="1F2933"/>
          <w:sz w:val="21"/>
        </w:rPr>
        <w:t xml:space="preserve"> données de démonstration anonymisées ; analyse RGPD/HDS avant toute donnée patient réelle ou lancement commercial.</w:t>
      </w:r>
    </w:p>
    <w:p>
      <w:pPr>
        <w:pStyle w:val="BulletCompact"/>
        <w:numPr>
          <w:ilvl w:val="0"/>
          <w:numId w:val="70"/>
        </w:numPr>
      </w:pPr>
      <w:r>
        <w:rPr>
          <w:rFonts w:ascii="Calibri" w:hAnsi="Calibri"/>
          <w:b/>
          <w:color w:val="1F2933"/>
          <w:sz w:val="21"/>
        </w:rPr>
        <w:t>Compatibilité :</w:t>
      </w:r>
      <w:r>
        <w:rPr>
          <w:rFonts w:ascii="Calibri" w:hAnsi="Calibri"/>
          <w:color w:val="1F2933"/>
          <w:sz w:val="21"/>
        </w:rPr>
        <w:t xml:space="preserve"> Android récent, iOS récent et deux navigateurs desktop modernes ; matrice de tests conservée.</w:t>
      </w:r>
    </w:p>
    <w:p>
      <w:pPr>
        <w:pStyle w:val="Heading1"/>
      </w:pPr>
      <w:r>
        <w:t>9. Planning indicatif</w:t>
      </w:r>
    </w:p>
    <w:tbl>
      <w:tblPr>
        <w:tblW w:type="dxa" w:w="9360"/>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1550"/>
        <w:gridCol w:w="5710"/>
      </w:tblGrid>
      <w:tr>
        <w:trPr>
          <w:tblHeader w:val="true"/>
        </w:trPr>
        <w:tc>
          <w:tcPr>
            <w:tcW w:type="dxa" w:w="2100"/>
            <w:shd w:fill="E8EEF5"/>
            <w:tcMar>
              <w:top w:w="90" w:type="dxa"/>
              <w:start w:w="120" w:type="dxa"/>
              <w:bottom w:w="90" w:type="dxa"/>
              <w:end w:w="120" w:type="dxa"/>
            </w:tcMar>
            <w:vAlign w:val="center"/>
          </w:tcPr>
          <w:p>
            <w:pPr>
              <w:pStyle w:val="DenseTable"/>
            </w:pPr>
            <w:r>
              <w:rPr>
                <w:rFonts w:ascii="Calibri" w:hAnsi="Calibri"/>
                <w:b/>
                <w:color w:val="0B2545"/>
                <w:sz w:val="16"/>
              </w:rPr>
              <w:t>Étape</w:t>
            </w:r>
          </w:p>
        </w:tc>
        <w:tc>
          <w:tcPr>
            <w:tcW w:type="dxa" w:w="1550"/>
            <w:shd w:fill="E8EEF5"/>
            <w:tcMar>
              <w:top w:w="90" w:type="dxa"/>
              <w:start w:w="120" w:type="dxa"/>
              <w:bottom w:w="90" w:type="dxa"/>
              <w:end w:w="120" w:type="dxa"/>
            </w:tcMar>
            <w:vAlign w:val="center"/>
          </w:tcPr>
          <w:p>
            <w:pPr>
              <w:pStyle w:val="DenseTable"/>
            </w:pPr>
            <w:r>
              <w:rPr>
                <w:rFonts w:ascii="Calibri" w:hAnsi="Calibri"/>
                <w:b/>
                <w:color w:val="0B2545"/>
                <w:sz w:val="16"/>
              </w:rPr>
              <w:t>Période</w:t>
            </w:r>
          </w:p>
        </w:tc>
        <w:tc>
          <w:tcPr>
            <w:tcW w:type="dxa" w:w="5710"/>
            <w:shd w:fill="E8EEF5"/>
            <w:tcMar>
              <w:top w:w="90" w:type="dxa"/>
              <w:start w:w="120" w:type="dxa"/>
              <w:bottom w:w="90" w:type="dxa"/>
              <w:end w:w="120" w:type="dxa"/>
            </w:tcMar>
            <w:vAlign w:val="center"/>
          </w:tcPr>
          <w:p>
            <w:pPr>
              <w:pStyle w:val="DenseTable"/>
            </w:pPr>
            <w:r>
              <w:rPr>
                <w:rFonts w:ascii="Calibri" w:hAnsi="Calibri"/>
                <w:b/>
                <w:color w:val="0B2545"/>
                <w:sz w:val="16"/>
              </w:rPr>
              <w:t>Résultat attendu</w:t>
            </w:r>
          </w:p>
        </w:tc>
      </w:tr>
      <w:tr>
        <w:tc>
          <w:tcPr>
            <w:tcW w:type="dxa" w:w="2100"/>
            <w:tcMar>
              <w:top w:w="80" w:type="dxa"/>
              <w:start w:w="120" w:type="dxa"/>
              <w:bottom w:w="80" w:type="dxa"/>
              <w:end w:w="120" w:type="dxa"/>
            </w:tcMar>
            <w:vAlign w:val="top"/>
          </w:tcPr>
          <w:p>
            <w:pPr>
              <w:pStyle w:val="DenseTable"/>
            </w:pPr>
            <w:r>
              <w:rPr>
                <w:rFonts w:ascii="Calibri" w:hAnsi="Calibri"/>
                <w:color w:val="1F2933"/>
                <w:sz w:val="16"/>
              </w:rPr>
              <w:t>0 · Cadrage</w:t>
            </w:r>
          </w:p>
        </w:tc>
        <w:tc>
          <w:tcPr>
            <w:tcW w:type="dxa" w:w="1550"/>
            <w:tcMar>
              <w:top w:w="80" w:type="dxa"/>
              <w:start w:w="120" w:type="dxa"/>
              <w:bottom w:w="80" w:type="dxa"/>
              <w:end w:w="120" w:type="dxa"/>
            </w:tcMar>
            <w:vAlign w:val="top"/>
          </w:tcPr>
          <w:p>
            <w:pPr>
              <w:pStyle w:val="DenseTable"/>
            </w:pPr>
            <w:r>
              <w:rPr>
                <w:rFonts w:ascii="Calibri" w:hAnsi="Calibri"/>
                <w:color w:val="1F2933"/>
                <w:sz w:val="16"/>
              </w:rPr>
              <w:t>3–5 jours</w:t>
            </w:r>
          </w:p>
        </w:tc>
        <w:tc>
          <w:tcPr>
            <w:tcW w:type="dxa" w:w="5710"/>
            <w:tcMar>
              <w:top w:w="80" w:type="dxa"/>
              <w:start w:w="120" w:type="dxa"/>
              <w:bottom w:w="80" w:type="dxa"/>
              <w:end w:w="120" w:type="dxa"/>
            </w:tcMar>
            <w:vAlign w:val="top"/>
          </w:tcPr>
          <w:p>
            <w:pPr>
              <w:pStyle w:val="DenseTable"/>
            </w:pPr>
            <w:r>
              <w:rPr>
                <w:rFonts w:ascii="Calibri" w:hAnsi="Calibri"/>
                <w:color w:val="1F2933"/>
                <w:sz w:val="16"/>
              </w:rPr>
              <w:t>Stack, parcours, maquettes essentielles, architecture, backlog et critères validés.</w:t>
            </w:r>
          </w:p>
        </w:tc>
      </w:tr>
      <w:tr>
        <w:tc>
          <w:tcPr>
            <w:tcW w:type="dxa" w:w="2100"/>
            <w:shd w:fill="FAFBFC"/>
            <w:tcMar>
              <w:top w:w="80" w:type="dxa"/>
              <w:start w:w="120" w:type="dxa"/>
              <w:bottom w:w="80" w:type="dxa"/>
              <w:end w:w="120" w:type="dxa"/>
            </w:tcMar>
            <w:vAlign w:val="top"/>
          </w:tcPr>
          <w:p>
            <w:pPr>
              <w:pStyle w:val="DenseTable"/>
            </w:pPr>
            <w:r>
              <w:rPr>
                <w:rFonts w:ascii="Calibri" w:hAnsi="Calibri"/>
                <w:color w:val="1F2933"/>
                <w:sz w:val="16"/>
              </w:rPr>
              <w:t>1 · Socle</w:t>
            </w:r>
          </w:p>
        </w:tc>
        <w:tc>
          <w:tcPr>
            <w:tcW w:type="dxa" w:w="1550"/>
            <w:shd w:fill="FAFBFC"/>
            <w:tcMar>
              <w:top w:w="80" w:type="dxa"/>
              <w:start w:w="120" w:type="dxa"/>
              <w:bottom w:w="80" w:type="dxa"/>
              <w:end w:w="120" w:type="dxa"/>
            </w:tcMar>
            <w:vAlign w:val="top"/>
          </w:tcPr>
          <w:p>
            <w:pPr>
              <w:pStyle w:val="DenseTable"/>
            </w:pPr>
            <w:r>
              <w:rPr>
                <w:rFonts w:ascii="Calibri" w:hAnsi="Calibri"/>
                <w:color w:val="1F2933"/>
                <w:sz w:val="16"/>
              </w:rPr>
              <w:t>Sem. 1–2</w:t>
            </w:r>
          </w:p>
        </w:tc>
        <w:tc>
          <w:tcPr>
            <w:tcW w:type="dxa" w:w="5710"/>
            <w:shd w:fill="FAFBFC"/>
            <w:tcMar>
              <w:top w:w="80" w:type="dxa"/>
              <w:start w:w="120" w:type="dxa"/>
              <w:bottom w:w="80" w:type="dxa"/>
              <w:end w:w="120" w:type="dxa"/>
            </w:tcMar>
            <w:vAlign w:val="top"/>
          </w:tcPr>
          <w:p>
            <w:pPr>
              <w:pStyle w:val="DenseTable"/>
            </w:pPr>
            <w:r>
              <w:rPr>
                <w:rFonts w:ascii="Calibri" w:hAnsi="Calibri"/>
                <w:color w:val="1F2933"/>
                <w:sz w:val="16"/>
              </w:rPr>
              <w:t>API, base, organisations, authentification, rôles, CI/CD et staging.</w:t>
            </w:r>
          </w:p>
        </w:tc>
      </w:tr>
      <w:tr>
        <w:tc>
          <w:tcPr>
            <w:tcW w:type="dxa" w:w="2100"/>
            <w:tcMar>
              <w:top w:w="80" w:type="dxa"/>
              <w:start w:w="120" w:type="dxa"/>
              <w:bottom w:w="80" w:type="dxa"/>
              <w:end w:w="120" w:type="dxa"/>
            </w:tcMar>
            <w:vAlign w:val="top"/>
          </w:tcPr>
          <w:p>
            <w:pPr>
              <w:pStyle w:val="DenseTable"/>
            </w:pPr>
            <w:r>
              <w:rPr>
                <w:rFonts w:ascii="Calibri" w:hAnsi="Calibri"/>
                <w:color w:val="1F2933"/>
                <w:sz w:val="16"/>
              </w:rPr>
              <w:t>2 · Métier</w:t>
            </w:r>
          </w:p>
        </w:tc>
        <w:tc>
          <w:tcPr>
            <w:tcW w:type="dxa" w:w="1550"/>
            <w:tcMar>
              <w:top w:w="80" w:type="dxa"/>
              <w:start w:w="120" w:type="dxa"/>
              <w:bottom w:w="80" w:type="dxa"/>
              <w:end w:w="120" w:type="dxa"/>
            </w:tcMar>
            <w:vAlign w:val="top"/>
          </w:tcPr>
          <w:p>
            <w:pPr>
              <w:pStyle w:val="DenseTable"/>
            </w:pPr>
            <w:r>
              <w:rPr>
                <w:rFonts w:ascii="Calibri" w:hAnsi="Calibri"/>
                <w:color w:val="1F2933"/>
                <w:sz w:val="16"/>
              </w:rPr>
              <w:t>Sem. 3–5</w:t>
            </w:r>
          </w:p>
        </w:tc>
        <w:tc>
          <w:tcPr>
            <w:tcW w:type="dxa" w:w="5710"/>
            <w:tcMar>
              <w:top w:w="80" w:type="dxa"/>
              <w:start w:w="120" w:type="dxa"/>
              <w:bottom w:w="80" w:type="dxa"/>
              <w:end w:w="120" w:type="dxa"/>
            </w:tcMar>
            <w:vAlign w:val="top"/>
          </w:tcPr>
          <w:p>
            <w:pPr>
              <w:pStyle w:val="DenseTable"/>
            </w:pPr>
            <w:r>
              <w:rPr>
                <w:rFonts w:ascii="Calibri" w:hAnsi="Calibri"/>
                <w:color w:val="1F2933"/>
                <w:sz w:val="16"/>
              </w:rPr>
              <w:t>Catalogue, fournisseurs, commandes, stock, lots, DLC, inventaire et audit.</w:t>
            </w:r>
          </w:p>
        </w:tc>
      </w:tr>
      <w:tr>
        <w:tc>
          <w:tcPr>
            <w:tcW w:type="dxa" w:w="2100"/>
            <w:shd w:fill="FAFBFC"/>
            <w:tcMar>
              <w:top w:w="80" w:type="dxa"/>
              <w:start w:w="120" w:type="dxa"/>
              <w:bottom w:w="80" w:type="dxa"/>
              <w:end w:w="120" w:type="dxa"/>
            </w:tcMar>
            <w:vAlign w:val="top"/>
          </w:tcPr>
          <w:p>
            <w:pPr>
              <w:pStyle w:val="DenseTable"/>
            </w:pPr>
            <w:r>
              <w:rPr>
                <w:rFonts w:ascii="Calibri" w:hAnsi="Calibri"/>
                <w:color w:val="1F2933"/>
                <w:sz w:val="16"/>
              </w:rPr>
              <w:t>3 · Traçabilité</w:t>
            </w:r>
          </w:p>
        </w:tc>
        <w:tc>
          <w:tcPr>
            <w:tcW w:type="dxa" w:w="1550"/>
            <w:shd w:fill="FAFBFC"/>
            <w:tcMar>
              <w:top w:w="80" w:type="dxa"/>
              <w:start w:w="120" w:type="dxa"/>
              <w:bottom w:w="80" w:type="dxa"/>
              <w:end w:w="120" w:type="dxa"/>
            </w:tcMar>
            <w:vAlign w:val="top"/>
          </w:tcPr>
          <w:p>
            <w:pPr>
              <w:pStyle w:val="DenseTable"/>
            </w:pPr>
            <w:r>
              <w:rPr>
                <w:rFonts w:ascii="Calibri" w:hAnsi="Calibri"/>
                <w:color w:val="1F2933"/>
                <w:sz w:val="16"/>
              </w:rPr>
              <w:t>Sem. 6–7</w:t>
            </w:r>
          </w:p>
        </w:tc>
        <w:tc>
          <w:tcPr>
            <w:tcW w:type="dxa" w:w="5710"/>
            <w:shd w:fill="FAFBFC"/>
            <w:tcMar>
              <w:top w:w="80" w:type="dxa"/>
              <w:start w:w="120" w:type="dxa"/>
              <w:bottom w:w="80" w:type="dxa"/>
              <w:end w:w="120" w:type="dxa"/>
            </w:tcMar>
            <w:vAlign w:val="top"/>
          </w:tcPr>
          <w:p>
            <w:pPr>
              <w:pStyle w:val="DenseTable"/>
            </w:pPr>
            <w:r>
              <w:rPr>
                <w:rFonts w:ascii="Calibri" w:hAnsi="Calibri"/>
                <w:color w:val="1F2933"/>
                <w:sz w:val="16"/>
              </w:rPr>
              <w:t>Cycles, contrôles, étiquettes, scan, alertes et exports.</w:t>
            </w:r>
          </w:p>
        </w:tc>
      </w:tr>
      <w:tr>
        <w:tc>
          <w:tcPr>
            <w:tcW w:type="dxa" w:w="2100"/>
            <w:tcMar>
              <w:top w:w="80" w:type="dxa"/>
              <w:start w:w="120" w:type="dxa"/>
              <w:bottom w:w="80" w:type="dxa"/>
              <w:end w:w="120" w:type="dxa"/>
            </w:tcMar>
            <w:vAlign w:val="top"/>
          </w:tcPr>
          <w:p>
            <w:pPr>
              <w:pStyle w:val="DenseTable"/>
            </w:pPr>
            <w:r>
              <w:rPr>
                <w:rFonts w:ascii="Calibri" w:hAnsi="Calibri"/>
                <w:color w:val="1F2933"/>
                <w:sz w:val="16"/>
              </w:rPr>
              <w:t>4 · Mobile &amp; intégration</w:t>
            </w:r>
          </w:p>
        </w:tc>
        <w:tc>
          <w:tcPr>
            <w:tcW w:type="dxa" w:w="1550"/>
            <w:tcMar>
              <w:top w:w="80" w:type="dxa"/>
              <w:start w:w="120" w:type="dxa"/>
              <w:bottom w:w="80" w:type="dxa"/>
              <w:end w:w="120" w:type="dxa"/>
            </w:tcMar>
            <w:vAlign w:val="top"/>
          </w:tcPr>
          <w:p>
            <w:pPr>
              <w:pStyle w:val="DenseTable"/>
            </w:pPr>
            <w:r>
              <w:rPr>
                <w:rFonts w:ascii="Calibri" w:hAnsi="Calibri"/>
                <w:color w:val="1F2933"/>
                <w:sz w:val="16"/>
              </w:rPr>
              <w:t>Sem. 8–9</w:t>
            </w:r>
          </w:p>
        </w:tc>
        <w:tc>
          <w:tcPr>
            <w:tcW w:type="dxa" w:w="5710"/>
            <w:tcMar>
              <w:top w:w="80" w:type="dxa"/>
              <w:start w:w="120" w:type="dxa"/>
              <w:bottom w:w="80" w:type="dxa"/>
              <w:end w:w="120" w:type="dxa"/>
            </w:tcMar>
            <w:vAlign w:val="top"/>
          </w:tcPr>
          <w:p>
            <w:pPr>
              <w:pStyle w:val="DenseTable"/>
            </w:pPr>
            <w:r>
              <w:rPr>
                <w:rFonts w:ascii="Calibri" w:hAnsi="Calibri"/>
                <w:color w:val="1F2933"/>
                <w:sz w:val="16"/>
              </w:rPr>
              <w:t>Parcours mobile finalisé et premier connecteur réel ou mock.</w:t>
            </w:r>
          </w:p>
        </w:tc>
      </w:tr>
      <w:tr>
        <w:tc>
          <w:tcPr>
            <w:tcW w:type="dxa" w:w="2100"/>
            <w:shd w:fill="FAFBFC"/>
            <w:tcMar>
              <w:top w:w="80" w:type="dxa"/>
              <w:start w:w="120" w:type="dxa"/>
              <w:bottom w:w="80" w:type="dxa"/>
              <w:end w:w="120" w:type="dxa"/>
            </w:tcMar>
            <w:vAlign w:val="top"/>
          </w:tcPr>
          <w:p>
            <w:pPr>
              <w:pStyle w:val="DenseTable"/>
            </w:pPr>
            <w:r>
              <w:rPr>
                <w:rFonts w:ascii="Calibri" w:hAnsi="Calibri"/>
                <w:color w:val="1F2933"/>
                <w:sz w:val="16"/>
              </w:rPr>
              <w:t>5 · Stabilisation</w:t>
            </w:r>
          </w:p>
        </w:tc>
        <w:tc>
          <w:tcPr>
            <w:tcW w:type="dxa" w:w="1550"/>
            <w:shd w:fill="FAFBFC"/>
            <w:tcMar>
              <w:top w:w="80" w:type="dxa"/>
              <w:start w:w="120" w:type="dxa"/>
              <w:bottom w:w="80" w:type="dxa"/>
              <w:end w:w="120" w:type="dxa"/>
            </w:tcMar>
            <w:vAlign w:val="top"/>
          </w:tcPr>
          <w:p>
            <w:pPr>
              <w:pStyle w:val="DenseTable"/>
            </w:pPr>
            <w:r>
              <w:rPr>
                <w:rFonts w:ascii="Calibri" w:hAnsi="Calibri"/>
                <w:color w:val="1F2933"/>
                <w:sz w:val="16"/>
              </w:rPr>
              <w:t>Sem. 10</w:t>
            </w:r>
          </w:p>
        </w:tc>
        <w:tc>
          <w:tcPr>
            <w:tcW w:type="dxa" w:w="5710"/>
            <w:shd w:fill="FAFBFC"/>
            <w:tcMar>
              <w:top w:w="80" w:type="dxa"/>
              <w:start w:w="120" w:type="dxa"/>
              <w:bottom w:w="80" w:type="dxa"/>
              <w:end w:w="120" w:type="dxa"/>
            </w:tcMar>
            <w:vAlign w:val="top"/>
          </w:tcPr>
          <w:p>
            <w:pPr>
              <w:pStyle w:val="DenseTable"/>
            </w:pPr>
            <w:r>
              <w:rPr>
                <w:rFonts w:ascii="Calibri" w:hAnsi="Calibri"/>
                <w:color w:val="1F2933"/>
                <w:sz w:val="16"/>
              </w:rPr>
              <w:t>Tests, sécurité, sauvegarde, documentation, pilote et corrections bloquantes.</w:t>
            </w:r>
          </w:p>
        </w:tc>
      </w:tr>
    </w:tbl>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FFF1F1"/>
            <w:tcMar>
              <w:top w:w="100" w:type="dxa"/>
              <w:start w:w="150" w:type="dxa"/>
              <w:bottom w:w="100" w:type="dxa"/>
              <w:end w:w="150" w:type="dxa"/>
            </w:tcMar>
          </w:tcPr>
          <w:p>
            <w:pPr>
              <w:pStyle w:val="CalloutText"/>
            </w:pPr>
            <w:r>
              <w:rPr>
                <w:rFonts w:ascii="Calibri" w:hAnsi="Calibri"/>
                <w:b/>
                <w:color w:val="9B1C1C"/>
                <w:sz w:val="20"/>
              </w:rPr>
              <w:t xml:space="preserve">CONDITION DE DÉLAI  </w:t>
            </w:r>
            <w:r>
              <w:rPr>
                <w:rFonts w:ascii="Calibri" w:hAnsi="Calibri"/>
                <w:color w:val="1F2933"/>
                <w:sz w:val="20"/>
              </w:rPr>
              <w:t>Dix semaines est une cible, pas une promesse aveugle. Elle suppose deux personnes techniquement autonomes, une disponibilité réelle d’au moins 20–25 h par semaine chacune, des décisions rapides et un périmètre gelé. Sinon, prévoir 12 à 16 semaines ou réduire le MVP.</w:t>
            </w:r>
          </w:p>
        </w:tc>
      </w:tr>
    </w:tbl>
    <w:p>
      <w:pPr>
        <w:pStyle w:val="Heading1"/>
      </w:pPr>
      <w:r>
        <w:t>10. Critères d’acceptation finale</w:t>
      </w:r>
    </w:p>
    <w:p>
      <w:pPr>
        <w:pStyle w:val="BulletCompact"/>
        <w:numPr>
          <w:ilvl w:val="0"/>
          <w:numId w:val="70"/>
        </w:numPr>
      </w:pPr>
      <w:r>
        <w:rPr>
          <w:rFonts w:ascii="Calibri" w:hAnsi="Calibri"/>
          <w:color w:val="1F2933"/>
          <w:sz w:val="21"/>
        </w:rPr>
        <w:t>Le parcours de démonstration complet fonctionne sur l’environnement de staging sans données fictives cachées.</w:t>
      </w:r>
    </w:p>
    <w:p>
      <w:pPr>
        <w:pStyle w:val="BulletCompact"/>
        <w:numPr>
          <w:ilvl w:val="0"/>
          <w:numId w:val="70"/>
        </w:numPr>
      </w:pPr>
      <w:r>
        <w:rPr>
          <w:rFonts w:ascii="Calibri" w:hAnsi="Calibri"/>
          <w:color w:val="1F2933"/>
          <w:sz w:val="21"/>
        </w:rPr>
        <w:t>Les droits sont testés ; un cabinet ne peut jamais lire ni modifier les données d’un autre.</w:t>
      </w:r>
    </w:p>
    <w:p>
      <w:pPr>
        <w:pStyle w:val="BulletCompact"/>
        <w:numPr>
          <w:ilvl w:val="0"/>
          <w:numId w:val="70"/>
        </w:numPr>
      </w:pPr>
      <w:r>
        <w:rPr>
          <w:rFonts w:ascii="Calibri" w:hAnsi="Calibri"/>
          <w:color w:val="1F2933"/>
          <w:sz w:val="21"/>
        </w:rPr>
        <w:t>Web et mobile consomment la même API et restent cohérents après création, modification, scan et synchronisation.</w:t>
      </w:r>
    </w:p>
    <w:p>
      <w:pPr>
        <w:pStyle w:val="BulletCompact"/>
        <w:numPr>
          <w:ilvl w:val="0"/>
          <w:numId w:val="70"/>
        </w:numPr>
      </w:pPr>
      <w:r>
        <w:rPr>
          <w:rFonts w:ascii="Calibri" w:hAnsi="Calibri"/>
          <w:color w:val="1F2933"/>
          <w:sz w:val="21"/>
        </w:rPr>
        <w:t>Les scénarios d’erreur critiques sont traités : double clic/scan, réseau interrompu, donnée invalide et impression échouée.</w:t>
      </w:r>
    </w:p>
    <w:p>
      <w:pPr>
        <w:pStyle w:val="BulletCompact"/>
        <w:numPr>
          <w:ilvl w:val="0"/>
          <w:numId w:val="70"/>
        </w:numPr>
      </w:pPr>
      <w:r>
        <w:rPr>
          <w:rFonts w:ascii="Calibri" w:hAnsi="Calibri"/>
          <w:color w:val="1F2933"/>
          <w:sz w:val="21"/>
        </w:rPr>
        <w:t>Aucune anomalie bloquante ou critique n’est ouverte ; sauvegarde et restauration ont été réellement testées.</w:t>
      </w:r>
    </w:p>
    <w:p>
      <w:pPr>
        <w:pStyle w:val="BulletCompact"/>
        <w:numPr>
          <w:ilvl w:val="0"/>
          <w:numId w:val="70"/>
        </w:numPr>
      </w:pPr>
      <w:r>
        <w:rPr>
          <w:rFonts w:ascii="Calibri" w:hAnsi="Calibri"/>
          <w:color w:val="1F2933"/>
          <w:sz w:val="21"/>
        </w:rPr>
        <w:t>Le code, les accès, la documentation et une démonstration enregistrée sont remis au porteur du projet.</w:t>
      </w:r>
    </w:p>
    <w:tbl>
      <w:tblPr>
        <w:tblW w:type="dxa" w:w="9360"/>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shd w:fill="EAF6F7"/>
            <w:tcMar>
              <w:top w:w="100" w:type="dxa"/>
              <w:start w:w="150" w:type="dxa"/>
              <w:bottom w:w="100" w:type="dxa"/>
              <w:end w:w="150" w:type="dxa"/>
            </w:tcMar>
          </w:tcPr>
          <w:p>
            <w:pPr>
              <w:pStyle w:val="CalloutText"/>
            </w:pPr>
            <w:r>
              <w:rPr>
                <w:rFonts w:ascii="Calibri" w:hAnsi="Calibri"/>
                <w:b/>
                <w:color w:val="166534"/>
                <w:sz w:val="20"/>
              </w:rPr>
              <w:t xml:space="preserve">VALIDATION  </w:t>
            </w:r>
            <w:r>
              <w:rPr>
                <w:rFonts w:ascii="Calibri" w:hAnsi="Calibri"/>
                <w:color w:val="1F2933"/>
                <w:sz w:val="20"/>
              </w:rPr>
              <w:t>Le MVP est accepté uniquement après démonstration du parcours complet, remise de tous les accès et validation écrite de la recette. Une fonctionnalité seulement visible sur une maquette ou non testée n’est pas considérée comme livrée.</w:t>
            </w:r>
          </w:p>
        </w:tc>
      </w:tr>
    </w:tbl>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6"/>
      </w:rPr>
      <w:t xml:space="preserve">Version 1.0 · 21 juillet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5" w:space="2" w:color="E8EEF5"/>
      </w:pBdr>
    </w:pPr>
    <w:r>
      <w:rPr>
        <w:rFonts w:ascii="Calibri" w:hAnsi="Calibri"/>
        <w:b/>
        <w:color w:val="5C6773"/>
        <w:sz w:val="16"/>
      </w:rPr>
      <w:t>CAHIER DES CHARGES · MVP SAAS HEALTHTECH DENTAIRE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multilevel"/>
    <w:lvl w:ilvl="0">
      <w:start w:val="1"/>
      <w:numFmt w:val="bullet"/>
      <w:lvlText w:val="•"/>
      <w:suff w:val="tab"/>
      <w:pPr>
        <w:tabs>
          <w:tab w:val="num" w:pos="540"/>
        </w:tabs>
        <w:ind w:left="540" w:hanging="270"/>
      </w:pPr>
    </w:lvl>
    <w:lvl w:ilvl="1">
      <w:start w:val="1"/>
      <w:numFmt w:val="bullet"/>
      <w:lvlText w:val="•"/>
      <w:suff w:val="tab"/>
      <w:pPr>
        <w:tabs>
          <w:tab w:val="num" w:pos="900"/>
        </w:tabs>
        <w:ind w:left="900" w:hanging="270"/>
      </w:pPr>
    </w:lvl>
    <w:lvl w:ilvl="2">
      <w:start w:val="1"/>
      <w:numFmt w:val="bullet"/>
      <w:lvlText w:val="•"/>
      <w:suff w:val="tab"/>
      <w:pPr>
        <w:tabs>
          <w:tab w:val="num" w:pos="1260"/>
        </w:tabs>
        <w:ind w:left="1260" w:hanging="270"/>
      </w:pPr>
    </w:lvl>
  </w:abstractNum>
  <w:num w:numId="70">
    <w:abstractNumId w:val="70"/>
  </w:num>
  <w:abstractNum w:abstractNumId="71">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pPr>
      <w:spacing w:before="0" w:after="80" w:line="276" w:lineRule="auto"/>
    </w:pPr>
    <w:rPr>
      <w:rFonts w:ascii="Calibri" w:hAnsi="Calibri"/>
      <w:color w:val="1F2933"/>
      <w:sz w:val="21"/>
    </w:rPr>
  </w:style>
  <w:style w:type="paragraph" w:customStyle="1" w:styleId="NumberCompact">
    <w:name w:val="Number Compact"/>
    <w:pPr>
      <w:spacing w:before="0" w:after="80" w:line="276" w:lineRule="auto"/>
    </w:pPr>
    <w:rPr>
      <w:rFonts w:ascii="Calibri" w:hAnsi="Calibri"/>
      <w:color w:val="1F2933"/>
      <w:sz w:val="21"/>
    </w:rPr>
  </w:style>
  <w:style w:type="paragraph" w:customStyle="1" w:styleId="DenseTable">
    <w:name w:val="Dense Table"/>
    <w:pPr>
      <w:spacing w:before="0" w:after="40" w:line="252" w:lineRule="auto"/>
    </w:pPr>
    <w:rPr>
      <w:rFonts w:ascii="Calibri" w:hAnsi="Calibri"/>
      <w:color w:val="1F2933"/>
      <w:sz w:val="17"/>
    </w:rPr>
  </w:style>
  <w:style w:type="paragraph" w:customStyle="1" w:styleId="CalloutText">
    <w:name w:val="Callout Text"/>
    <w:pPr>
      <w:spacing w:before="40" w:after="40" w:line="264" w:lineRule="auto"/>
    </w:pPr>
    <w:rPr>
      <w:rFonts w:ascii="Calibri" w:hAnsi="Calibri"/>
      <w:color w:val="1F2933"/>
      <w:sz w:val="20"/>
    </w:rPr>
  </w:style>
  <w:style w:type="paragraph" w:customStyle="1" w:styleId="Meta">
    <w:name w:val="Meta"/>
    <w:pPr>
      <w:spacing w:before="0" w:after="40"/>
    </w:pPr>
    <w:rPr>
      <w:rFonts w:ascii="Calibri" w:hAnsi="Calibri"/>
      <w:color w:val="5C67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MVP — SaaS HealthTech dentaire</dc:title>
  <dc:subject>MVP web, backend, mobile, traçabilité, stérilisation et intégrations</dc:subject>
  <dc:creator>S B SOLUTIONS MA</dc:creator>
  <cp:keywords>SaaS, HealthTech, dentaire, MVP, mobile, stock, traçabilité, stérilisation</cp:keywords>
  <dc:description>generated by python-docx</dc:description>
  <cp:lastModifiedBy/>
  <cp:revision>1</cp:revision>
  <dcterms:created xsi:type="dcterms:W3CDTF">2013-12-23T23:15:00Z</dcterms:created>
  <dcterms:modified xsi:type="dcterms:W3CDTF">2013-12-23T23:15:00Z</dcterms:modified>
  <cp:category/>
</cp:coreProperties>
</file>