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gfbgfbgfbgf</w:t>
      </w:r>
    </w:p>
    <w:p>
      <w:pPr>
        <w:pStyle w:val="Heading3"/>
      </w:pPr>
      <w:r>
        <w:t>Problem statement</w:t>
      </w:r>
    </w:p>
    <w:p>
      <w:r>
        <w:t>gfhfg. Дополнительные детали проблемы и ее влияние на бизнес и клиентов требуют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Реализация инициативы в соответствии с идеей: gbfg.</w:t>
      </w:r>
    </w:p>
    <w:p>
      <w:pPr>
        <w:pStyle w:val="ListBullet"/>
      </w:pPr>
      <w:r>
        <w:t>Определение и достижение измеримых бизнес-результатов требует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bgfbfg. Конкретные сегменты целевой аудитории и их характеристики требуют уточнения на основании исходных данных.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Реализация целевого сценария (идеального потока): hgfhfg.</w:t>
      </w:r>
    </w:p>
    <w:p>
      <w:pPr>
        <w:pStyle w:val="ListBullet"/>
      </w:pPr>
      <w:r>
        <w:t>Обеспечение выполнения ключевых пользовательских действий: dfghgf.</w:t>
      </w:r>
    </w:p>
    <w:p>
      <w:pPr>
        <w:pStyle w:val="ListBullet"/>
      </w:pPr>
      <w:r>
        <w:t>Детализация ожидаемых бизнес- и пользовательских эффектов требует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hfghgfh.</w:t>
      </w:r>
    </w:p>
    <w:p>
      <w:pPr>
        <w:pStyle w:val="ListBullet"/>
      </w:pPr>
      <w:r>
        <w:t>Количественные и качественные метрики успеха (финансовые, операционные, клиентские) требуют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gfhgfh.</w:t>
      </w:r>
    </w:p>
    <w:p>
      <w:pPr>
        <w:pStyle w:val="ListBullet"/>
      </w:pPr>
      <w:r>
        <w:t>Технологические, ресурсные и регуляторные ограничения требуют уточнения на основании исходных данных.</w:t>
      </w:r>
    </w:p>
    <w:p>
      <w:pPr>
        <w:pStyle w:val="ListBullet"/>
      </w:pPr>
      <w:r>
        <w:t>Риски, связанные с реализацией инициативы, требуют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