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Vision</w:t>
      </w:r>
    </w:p>
    <w:p>
      <w:pPr>
        <w:pStyle w:val="Heading2"/>
      </w:pPr>
      <w:r>
        <w:t>Talap AI — внутренний AI-ассистент Forte Bank для ускоренной подготовки BA-документов</w:t>
      </w:r>
    </w:p>
    <w:p>
      <w:pPr>
        <w:pStyle w:val="Heading3"/>
      </w:pPr>
      <w:r>
        <w:t>Problem statement</w:t>
      </w:r>
    </w:p>
    <w:p>
      <w:r>
        <w:t>В текущем процессе сбора и оформления требований в Forte Bank наблюдаются следующие проблемы:</w:t>
        <w:br/>
        <w:t>- Требования собираются длительное время и в неструктурированном виде, что приводит к множественным итерациям по уточнению и переписыванию.</w:t>
        <w:br/>
        <w:t>- Систематически пропускаются важные аспекты: ограничения, негативные сценарии (unhappy paths), роли участников, критерии приемки.</w:t>
        <w:br/>
        <w:t>- Документация создается в разных форматах и без единого стандарта, что затрудняет использование и сопровождение.</w:t>
        <w:br/>
        <w:t>- Существенная часть времени бизнес-аналитиков уходит на оформление документов вместо анализа и проработки требований.</w:t>
        <w:br/>
        <w:t>- Возникают риски просрочек и переделок из-за недопонимания между бизнес-подразделениями и ИТ-командами.</w:t>
      </w:r>
    </w:p>
    <w:p>
      <w:pPr>
        <w:pStyle w:val="Heading3"/>
      </w:pPr>
      <w:r>
        <w:t>Business goals</w:t>
      </w:r>
    </w:p>
    <w:p>
      <w:pPr>
        <w:pStyle w:val="ListBullet"/>
      </w:pPr>
      <w:r>
        <w:t>Сократить время подготовки полного пакета BA-документов (Vision, Scope, Use Case/User Story, BPMN, критерии приемки) за счет автоматизации сбора и первичной обработки требований.</w:t>
      </w:r>
    </w:p>
    <w:p>
      <w:pPr>
        <w:pStyle w:val="ListBullet"/>
      </w:pPr>
      <w:r>
        <w:t>Повысить структурированность и полноту требований, включая явное отражение ограничений, ролей, unhappy paths и критериев приемки.</w:t>
      </w:r>
    </w:p>
    <w:p>
      <w:pPr>
        <w:pStyle w:val="ListBullet"/>
      </w:pPr>
      <w:r>
        <w:t>Установить единый стандарт формата и содержания BA-документов в соответствии с шаблонами и терминологией банка.</w:t>
      </w:r>
    </w:p>
    <w:p>
      <w:pPr>
        <w:pStyle w:val="ListBullet"/>
      </w:pPr>
      <w:r>
        <w:t>Снизить долю переделок и дефектов, связанных с некачественно собранными или неоднозначными требованиями.</w:t>
      </w:r>
    </w:p>
    <w:p>
      <w:pPr>
        <w:pStyle w:val="ListBullet"/>
      </w:pPr>
      <w:r>
        <w:t>Сократить количество итераций согласования между бизнесом и ИТ за счет повышения качества исходного пакета документов.</w:t>
      </w:r>
    </w:p>
    <w:p>
      <w:pPr>
        <w:pStyle w:val="ListBullet"/>
      </w:pPr>
      <w:r>
        <w:t>Повысить прозрачность и управляемость процесса подготовки требований за счет статусов, истории версий и аудита изменений.</w:t>
      </w:r>
    </w:p>
    <w:p>
      <w:pPr>
        <w:pStyle w:val="Heading3"/>
      </w:pPr>
      <w:r>
        <w:t>Target users</w:t>
      </w:r>
    </w:p>
    <w:p>
      <w:pPr>
        <w:pStyle w:val="ListBullet"/>
      </w:pPr>
      <w:r>
        <w:t>Бизнес-заказчики внутренних инициатив (подразделения продуктового блока, маркетинга, операций).</w:t>
      </w:r>
    </w:p>
    <w:p>
      <w:pPr>
        <w:pStyle w:val="ListBullet"/>
      </w:pPr>
      <w:r>
        <w:t>Бизнес-аналитики, отвечающие за сбор, анализ и формализацию требований.</w:t>
      </w:r>
    </w:p>
    <w:p>
      <w:pPr>
        <w:pStyle w:val="ListBullet"/>
      </w:pPr>
      <w:r>
        <w:t>Системные аналитики, использующие BA-документы для детализации и проектирования решений.</w:t>
      </w:r>
    </w:p>
    <w:p>
      <w:pPr>
        <w:pStyle w:val="ListBullet"/>
      </w:pPr>
      <w:r>
        <w:t>Руководители проектов, Project Manager / Product Owner, координирующие запуск и реализацию инициатив.</w:t>
      </w:r>
    </w:p>
    <w:p>
      <w:pPr>
        <w:pStyle w:val="ListBullet"/>
      </w:pPr>
      <w:r>
        <w:t>Разработчики и QA-специалисты как потребители четких и стандартизированных требований (вторичная аудитория).</w:t>
      </w:r>
    </w:p>
    <w:p>
      <w:pPr>
        <w:pStyle w:val="ListBullet"/>
      </w:pPr>
      <w:r>
        <w:t>Руководители и менеджмент как пользователи агрегированной и стандартизированной документации для контроля и принятия решений (вторичная аудитория).</w:t>
      </w:r>
    </w:p>
    <w:p>
      <w:pPr>
        <w:pStyle w:val="Heading3"/>
      </w:pPr>
      <w:r>
        <w:t>Expected outcomes</w:t>
      </w:r>
    </w:p>
    <w:p>
      <w:pPr>
        <w:pStyle w:val="ListBullet"/>
      </w:pPr>
      <w:r>
        <w:t>Внедрение Talap AI как внутреннего AI-ассистента, который за 10–15 минут на основе ответов заказчика формирует первичный пакет BA-документов по стандартам банка.</w:t>
      </w:r>
    </w:p>
    <w:p>
      <w:pPr>
        <w:pStyle w:val="ListBullet"/>
      </w:pPr>
      <w:r>
        <w:t>Переход к процессу, в котором заказчик заполняет стандартизированный бриф (8–12 вопросов), а система автоматически валидирует ответы, выявляя пробелы, конфликтующие требования и потенциальные риски.</w:t>
      </w:r>
    </w:p>
    <w:p>
      <w:pPr>
        <w:pStyle w:val="ListBullet"/>
      </w:pPr>
      <w:r>
        <w:t>Автоматическая генерация ключевых артефактов (Vision, Scope, базовые User Stories, BPMN-диаграммы, критерии приемки) с последующим быстрым редактированием и утверждением бизнес-аналитиком.</w:t>
      </w:r>
    </w:p>
    <w:p>
      <w:pPr>
        <w:pStyle w:val="ListBullet"/>
      </w:pPr>
      <w:r>
        <w:t>Наличие единого цифрового пространства для работы с кейсами: статусы, история версий, аудит изменений, экспорт документов в DOCX/PDF и передача в системы управления задачами (Jira/Confluence) — степень и формат интеграции требуют уточнения на основании исходных данных.</w:t>
      </w:r>
    </w:p>
    <w:p>
      <w:pPr>
        <w:pStyle w:val="ListBullet"/>
      </w:pPr>
      <w:r>
        <w:t>Сокращение времени от момента создания кейса до готовности пакета требований к передаче в разработку за счет автоматизации и стандартизации.</w:t>
      </w:r>
    </w:p>
    <w:p>
      <w:pPr>
        <w:pStyle w:val="ListBullet"/>
      </w:pPr>
      <w:r>
        <w:t>Повышение удовлетворенности бизнес-заказчиков и аналитиков за счет уменьшения рутины по оформлению и ускорения запуска инициатив.</w:t>
      </w:r>
    </w:p>
    <w:p>
      <w:pPr>
        <w:pStyle w:val="Heading3"/>
      </w:pPr>
      <w:r>
        <w:t>Success criteria</w:t>
      </w:r>
    </w:p>
    <w:p>
      <w:pPr>
        <w:pStyle w:val="ListBullet"/>
      </w:pPr>
      <w:r>
        <w:t>Сокращение времени подготовки BA-пакета с ориентировочных 2–3 дней до 1–2 часов (конкретные базовые значения и целевые метрики требуют уточнения на основании исходных данных).</w:t>
      </w:r>
    </w:p>
    <w:p>
      <w:pPr>
        <w:pStyle w:val="ListBullet"/>
      </w:pPr>
      <w:r>
        <w:t>Доля кейсов, проходящих утверждение с 1–2 итераций согласования, увеличивается по сравнению с текущим уровнем (текущие значения требуют уточнения на основании исходных данных).</w:t>
      </w:r>
    </w:p>
    <w:p>
      <w:pPr>
        <w:pStyle w:val="ListBullet"/>
      </w:pPr>
      <w:r>
        <w:t>Снижение уровня переделок и дефектов, связанных с требованиями (rework rate), по сравнению с базовой линией (базовые показатели требуют уточнения на основании исходных данных).</w:t>
      </w:r>
    </w:p>
    <w:p>
      <w:pPr>
        <w:pStyle w:val="ListBullet"/>
      </w:pPr>
      <w:r>
        <w:t>Соблюдение целевого SLA на сбор требований: сокращение среднего времени от статуса «создан кейс» до статуса «готово к разработке» (конкретные SLA требуют уточнения на основании исходных данных).</w:t>
      </w:r>
    </w:p>
    <w:p>
      <w:pPr>
        <w:pStyle w:val="ListBullet"/>
      </w:pPr>
      <w:r>
        <w:t>Достижение целевых показателей удовлетворенности пользователей (CSAT/NPS) среди бизнес-аналитиков и бизнес-заказчиков (целевые значения и методика измерения требуют уточнения на основании исходных данных).</w:t>
      </w:r>
    </w:p>
    <w:p>
      <w:pPr>
        <w:pStyle w:val="ListBullet"/>
      </w:pPr>
      <w:r>
        <w:t>Рост доли проектов, в которых BA-документы формируются через Talap AI, до целевого уровня использования (целевое значение требует уточнения на основании исходных данных).</w:t>
      </w:r>
    </w:p>
    <w:p>
      <w:pPr>
        <w:pStyle w:val="Heading3"/>
      </w:pPr>
      <w:r>
        <w:t>Risks and limitations</w:t>
      </w:r>
    </w:p>
    <w:p>
      <w:pPr>
        <w:pStyle w:val="ListBullet"/>
      </w:pPr>
      <w:r>
        <w:t>Риск нарушения конфиденциальности и утечки персональных данных и внутренних документов при использовании AI-моделей, необходимость применения механизмов фильтрации и маскирования данных.</w:t>
      </w:r>
    </w:p>
    <w:p>
      <w:pPr>
        <w:pStyle w:val="ListBullet"/>
      </w:pPr>
      <w:r>
        <w:t>Ограничения качества работы AI (возможные неточности, ошибки интерпретации, «галлюцинации»), что требует обязательного участия бизнес-аналитика в цикле утверждения (human-in-the-loop).</w:t>
      </w:r>
    </w:p>
    <w:p>
      <w:pPr>
        <w:pStyle w:val="ListBullet"/>
      </w:pPr>
      <w:r>
        <w:t>Необходимость строгого соответствия генерируемых документов стандартам, шаблонам и терминологии банка, что может ограничивать гибкость решений и потребует настройки и регулярной калибровки.</w:t>
      </w:r>
    </w:p>
    <w:p>
      <w:pPr>
        <w:pStyle w:val="ListBullet"/>
      </w:pPr>
      <w:r>
        <w:t>Риск генерации недостоверного или противоречивого содержания (галлюцинаций), что требует внедрения дополнительных механизмов валидации и, по возможности, указания источников и ссылок — конкретные подходы требуют уточнения на основании исходных данных.</w:t>
      </w:r>
    </w:p>
    <w:p>
      <w:pPr>
        <w:pStyle w:val="ListBullet"/>
      </w:pPr>
      <w:r>
        <w:t>Ограничения по интеграции с внешними и внутренними системами (например, Jira, Confluence) из-за прав доступа, регуляторных требований и технических ограничений — детали интеграций требуют уточнения на основании исходных данных.</w:t>
      </w:r>
    </w:p>
    <w:p>
      <w:pPr>
        <w:pStyle w:val="ListBullet"/>
      </w:pPr>
      <w:r>
        <w:t>Зависимость эффекта от уровня вовлеченности и готовности пользователей (бизнес-заказчиков и аналитиков) переходить на новый формат работы — план управления изменениями требует уточнения на основании исходных данных.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