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SmartInvoice — цифровой сервис факторинга и автоматизации счетов для МСБ</w:t>
      </w:r>
    </w:p>
    <w:p>
      <w:pPr>
        <w:pStyle w:val="Heading3"/>
      </w:pPr>
      <w:r>
        <w:t>Problem statement</w:t>
      </w:r>
    </w:p>
    <w:p>
      <w:r>
        <w:t>Клиенты малого и среднего бизнеса, работающие по безналичным расчетам с отсрочкой платежа, сталкиваются с рядом проблем:</w:t>
        <w:br/>
        <w:br/>
        <w:t>1) Кассовые разрывы: счета выставляются с отсрочкой 30–60 дней, при этом потребность в денежных средствах возникает значительно раньше.</w:t>
        <w:br/>
        <w:t>2) Высокая доля ручного труда и ошибок: счета формируются в Excel/Word, отправляются по электронной почте, что повышает риск ошибок в реквизитах и суммах.</w:t>
        <w:br/>
        <w:t>3) Отсутствие прозрачности: нет единого центра, где клиент видит полный реестр выставленных счетов, статусы оплат, просрочки и потенциально финансируемые счета.</w:t>
        <w:br/>
        <w:t>4) Сложность доступа к факторингу: клиенты не понимают продукт, опасаются бюрократии и не готовы разбираться в документах и процессах.</w:t>
        <w:br/>
        <w:br/>
        <w:t>В результате банк недополучает объём факторинговых операций и доход, а МСБ испытывает устойчивые кассовые разрывы и неопределённость денежных потоков.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Упростить и ускорить путь от выставления счёта до получения денежных средств на счёт клиента МСБ за счёт цифровизации процесса выставления счетов и подачи заявок на факторинг.</w:t>
      </w:r>
    </w:p>
    <w:p>
      <w:pPr>
        <w:pStyle w:val="ListBullet"/>
      </w:pPr>
      <w:r>
        <w:t>Снизить кассовые разрывы и повысить предсказуемость денежных потоков клиентов МСБ за счёт удобного доступа к факторинговому финансированию по выставленным счетам.</w:t>
      </w:r>
    </w:p>
    <w:p>
      <w:pPr>
        <w:pStyle w:val="ListBullet"/>
      </w:pPr>
      <w:r>
        <w:t>Повысить лояльность клиентов МСБ к банку за счёт предоставления удобного, интегрированного в интернет-банк сервиса SmartInvoice.</w:t>
      </w:r>
    </w:p>
    <w:p>
      <w:pPr>
        <w:pStyle w:val="ListBullet"/>
      </w:pPr>
      <w:r>
        <w:t>Увеличить объём факторинговых операций и связанный с ними доход банка (процентный доход и комиссии) за счёт роста числа клиентов и доли профинансированных счетов.</w:t>
      </w:r>
    </w:p>
    <w:p>
      <w:pPr>
        <w:pStyle w:val="ListBullet"/>
      </w:pPr>
      <w:r>
        <w:t>Сократить операционные издержки и время обработки заявок на факторинг за счёт автоматизации части решений и интеграции с внутренними системами банка.</w:t>
      </w:r>
    </w:p>
    <w:p>
      <w:pPr>
        <w:pStyle w:val="ListBullet"/>
      </w:pPr>
      <w:r>
        <w:t>Обеспечить соответствие регуляторным требованиям (KYC/AML, комплаенс, аудит) в процессе факторингового финансирования.</w:t>
      </w:r>
    </w:p>
    <w:p>
      <w:pPr>
        <w:pStyle w:val="Heading3"/>
      </w:pPr>
      <w:r>
        <w:t>Target users</w:t>
      </w:r>
    </w:p>
    <w:p>
      <w:pPr>
        <w:pStyle w:val="ListBullet"/>
      </w:pPr>
      <w:r>
        <w:t>Юридические лица и индивидуальные предприниматели малого и среднего бизнеса, работающие по безналичному расчёту с отсрочкой платежа (дистрибьюторы, поставщики, сервисные компании).</w:t>
      </w:r>
    </w:p>
    <w:p>
      <w:pPr>
        <w:pStyle w:val="ListBullet"/>
      </w:pPr>
      <w:r>
        <w:t>Бухгалтеры и финансовые менеджеры компаний МСБ, непосредственно формирующие и отправляющие счета, контролирующие оплаты и документы.</w:t>
      </w:r>
    </w:p>
    <w:p>
      <w:pPr>
        <w:pStyle w:val="ListBullet"/>
      </w:pPr>
      <w:r>
        <w:t>Менеджеры по продажам МСБ, которые выставляют счета контрагентам в рамках своей операционной деятельности.</w:t>
      </w:r>
    </w:p>
    <w:p>
      <w:pPr>
        <w:pStyle w:val="ListBullet"/>
      </w:pPr>
      <w:r>
        <w:t>Сотрудники банка — операционисты факторингового подразделения, обрабатывающие заявки на финансирование по счетам.</w:t>
      </w:r>
    </w:p>
    <w:p>
      <w:pPr>
        <w:pStyle w:val="ListBullet"/>
      </w:pPr>
      <w:r>
        <w:t>Сотрудники банка — риск-аналитики / кредитные аналитики, оценивающие риски по клиентам и контрагентам в рамках факторинга.</w:t>
      </w:r>
    </w:p>
    <w:p>
      <w:pPr>
        <w:pStyle w:val="ListBullet"/>
      </w:pPr>
      <w:r>
        <w:t>Сотрудники банка — продуктовые / бизнес-администраторы SmartInvoice, управляющие параметрами продукта, лимитами и аналитикой.</w:t>
      </w:r>
    </w:p>
    <w:p>
      <w:pPr>
        <w:pStyle w:val="ListBullet"/>
      </w:pPr>
      <w:r>
        <w:t>Сотрудники банка — администраторы системы и техническая поддержка, обеспечивающие работоспособность, безопасность и мониторинг сервиса.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Появление в интернет-банке/ Talap AI единого цифрового сервиса SmartInvoice, позволяющего клиентам МСБ создавать, хранить и отправлять счета контрагентам в электронном виде (включая генерацию PDF и отправку по email).</w:t>
      </w:r>
    </w:p>
    <w:p>
      <w:pPr>
        <w:pStyle w:val="ListBullet"/>
      </w:pPr>
      <w:r>
        <w:t>Формирование единого реестра счетов с базовыми статусами («создан», «отправлен», «оплачен», «просрочен») и возможностью фильтрации счетов, в том числе по признаку доступности к финансированию.</w:t>
      </w:r>
    </w:p>
    <w:p>
      <w:pPr>
        <w:pStyle w:val="ListBullet"/>
      </w:pPr>
      <w:r>
        <w:t>Возможность для клиентов МСБ в один клик подавать заявки на факторинговое финансирование по отдельным счетам, удовлетворяющим базовым бизнес-правилам доступности к финансированию.</w:t>
      </w:r>
    </w:p>
    <w:p>
      <w:pPr>
        <w:pStyle w:val="ListBullet"/>
      </w:pPr>
      <w:r>
        <w:t>Интеграция SmartInvoice с интернет-банком и базовыми внутренними системами банка (АБС, модуль факторинга, email-шлюз, файловое хранилище/DMS) в рамках MVP для авторизации, проверки доступности продукта, обработки заявок и хранения документов.</w:t>
      </w:r>
    </w:p>
    <w:p>
      <w:pPr>
        <w:pStyle w:val="ListBullet"/>
      </w:pPr>
      <w:r>
        <w:t>Сокращение времени от подачи заявки на финансирование до получения решения и зачисления средств за счёт автоматизации части проверок и маршрутизации заявок.</w:t>
      </w:r>
    </w:p>
    <w:p>
      <w:pPr>
        <w:pStyle w:val="ListBullet"/>
      </w:pPr>
      <w:r>
        <w:t>Предоставление клиентам МСБ базовой аналитики по выставленным и профинансированным счетам (количество, суммы, статусы, объём профинансированных счетов, средние сроки оплаты).</w:t>
      </w:r>
    </w:p>
    <w:p>
      <w:pPr>
        <w:pStyle w:val="ListBullet"/>
      </w:pPr>
      <w:r>
        <w:t>Повышение прозрачности для банка по портфелю факторинга за счёт структурированных данных по счетам, заявкам, отказам и просрочкам.</w:t>
      </w:r>
    </w:p>
    <w:p>
      <w:pPr>
        <w:pStyle w:val="ListBullet"/>
      </w:pPr>
      <w:r>
        <w:t>Обеспечение базовых требований по безопасности, авторизации, разграничению прав доступа и аудиту действий пользователей в рамках сервиса SmartInvoice.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Продуктовые метрики (через 6–12 месяцев после запуска MVP):</w:t>
        <w:br/>
        <w:t>- Количество активных компаний-клиентов сервиса SmartInvoice — целевое значение N активных клиентов в месяц (конкретное значение требует уточнения на основании исходных данных).</w:t>
        <w:br/>
        <w:t>- Количество созданных счетов в системе — целевое значение X счетов в месяц (конкретное значение требует уточнения на основании исходных данных).</w:t>
        <w:br/>
        <w:t>- Доля счетов, по которым используется факторинговое финансирование, — целевое значение Y% от всех выставленных счетов (конкретное значение требует уточнения на основании исходных данных).</w:t>
      </w:r>
    </w:p>
    <w:p>
      <w:pPr>
        <w:pStyle w:val="ListBullet"/>
      </w:pPr>
      <w:r>
        <w:t>Финансовые метрики:</w:t>
        <w:br/>
        <w:t>- Общий объём профинансированных через SmartInvoice счетов — целевое значение Z млрд тенге в год (конкретное значение требует уточнения на основании исходных данных).</w:t>
        <w:br/>
        <w:t>- Доход банка от факторинга (процентный доход и комиссии) — целевые значения требуют уточнения на основании исходных данных.</w:t>
      </w:r>
    </w:p>
    <w:p>
      <w:pPr>
        <w:pStyle w:val="ListBullet"/>
      </w:pPr>
      <w:r>
        <w:t>Оперционные метрики:</w:t>
        <w:br/>
        <w:t>- Среднее время от подачи заявки на финансирование до принятия решения банком — целевое значение требует уточнения на основании исходных данных.</w:t>
        <w:br/>
        <w:t>- Доля заявок на финансирование, обработанных без участия человека (STP — straight-through processing) — целевое значение требует уточнения на основании исходных данных.</w:t>
      </w:r>
    </w:p>
    <w:p>
      <w:pPr>
        <w:pStyle w:val="ListBullet"/>
      </w:pPr>
      <w:r>
        <w:t>Клиентские метрики:</w:t>
        <w:br/>
        <w:t>- Уровень удовлетворенности и лояльности пользователей сервиса SmartInvoice (NPS/CSAT) — целевые значения требуют уточнения на основании исходных данных.</w:t>
        <w:br/>
        <w:t>- Снижение количества жалоб клиентов МСБ, связанных с кассовыми разрывами и сложностью доступа к финансированию, по сравнению с базовым периодом (методика измерения требует уточнения на основании исходных данных).</w:t>
      </w:r>
    </w:p>
    <w:p>
      <w:pPr>
        <w:pStyle w:val="ListBullet"/>
      </w:pPr>
      <w:r>
        <w:t>Риск-метрики:</w:t>
        <w:br/>
        <w:t>- Уровень просрочки по профинансированным через SmartInvoice счетам (PD/LGD) в допустимых для банка пределах — целевые пороговые значения требуют уточнения на основании исходных данных.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Кредитный риск: контрагенты клиентов МСБ могут не оплатить профинансированные счета, что создаёт риск убытков для банка по факторинговым операциям.</w:t>
      </w:r>
    </w:p>
    <w:p>
      <w:pPr>
        <w:pStyle w:val="ListBullet"/>
      </w:pPr>
      <w:r>
        <w:t>Риск низкой вовлечённости клиентов: клиенты МСБ могут продолжать использовать привычные инструменты (Excel, ручная отправка счетов по электронной почте) и не переходить на SmartInvoice, что ограничит эффект от внедрения сервиса.</w:t>
      </w:r>
    </w:p>
    <w:p>
      <w:pPr>
        <w:pStyle w:val="ListBullet"/>
      </w:pPr>
      <w:r>
        <w:t>Риск ошибок в данных: неверно введённые реквизиты контрагентов, суммы, даты и другие параметры счетов могут приводить к ошибкам в оплате и финансировании, дополнительным операционным затратам и неудовлетворенности клиентов.</w:t>
      </w:r>
    </w:p>
    <w:p>
      <w:pPr>
        <w:pStyle w:val="ListBullet"/>
      </w:pPr>
      <w:r>
        <w:t>Регуляторные ограничения: требования регуляторов по факторингу, KYC/AML, санкционным спискам, хранению и аудиту данных могут ограничивать функциональность и скорость процессов, а также требовать дополнительных проверок.</w:t>
      </w:r>
    </w:p>
    <w:p>
      <w:pPr>
        <w:pStyle w:val="ListBullet"/>
      </w:pPr>
      <w:r>
        <w:t>Репутационный риск для банка: несоответствие фактической скорости и качества обслуживания заявленным ожиданиям (например, задержки при обещанном быстром финансировании) может негативно повлиять на репутацию банка среди клиентов МСБ.</w:t>
      </w:r>
    </w:p>
    <w:p>
      <w:pPr>
        <w:pStyle w:val="ListBullet"/>
      </w:pPr>
      <w:r>
        <w:t>Географические ограничения MVP: на начальном этапе сервис доступен только резидентам одной страны (например, Казахстан), что ограничивает масштабируемость и кросс-страничные сценарии. Конкретный перечень стран требует уточнения на основании исходных данных.</w:t>
      </w:r>
    </w:p>
    <w:p>
      <w:pPr>
        <w:pStyle w:val="ListBullet"/>
      </w:pPr>
      <w:r>
        <w:t>Ограничения по сегментам и тарифам: в MVP сервис доступен только для определённых тарифов и сегментов клиентов МСБ; детальный перечень тарифов и критериев сегментации требует уточнения на основании исходных данных.</w:t>
      </w:r>
    </w:p>
    <w:p>
      <w:pPr>
        <w:pStyle w:val="ListBullet"/>
      </w:pPr>
      <w:r>
        <w:t>Функциональные ограничения MVP: ограниченное количество интеграций (отсутствие интеграции с 1С и другими внешними учётными системами, только ручной ввод данных), упрощённая модель факторинга (один базовый вариант), отсутствие продвинутой аналитики и автоматического скоринга контрагентов.</w:t>
      </w:r>
    </w:p>
    <w:p>
      <w:pPr>
        <w:pStyle w:val="ListBullet"/>
      </w:pPr>
      <w:r>
        <w:t>Технологические и интеграционные риски: возможная недоступность или нестабильность внешних и внутренних систем (интернет-банк, АБС, модуль факторинга, email-шлюз, DMS, KYC/AML-сервисы) может приводить к сбоям при создании счетов, отправке документов и обработке заявок на финансирование.</w:t>
      </w:r>
    </w:p>
    <w:p>
      <w:pPr>
        <w:pStyle w:val="ListBullet"/>
      </w:pPr>
      <w:r>
        <w:t>Риски информационной безопасности: нарушения в области авторизации, разграничения прав доступа, шифрования и аудита действий могут привести к несанкционированному доступу к финансовым данным клиентов и нарушению внутренних политик банка и требований регуляторов.</w:t>
      </w:r>
    </w:p>
    <w:p>
      <w:pPr>
        <w:pStyle w:val="ListBullet"/>
      </w:pPr>
      <w:r>
        <w:t>Некоторые параметры бизнес-правил, лимитов, пороговых значений и целевых метрик требуют уточнения на основании исходных данных и внутренних нормативов банка.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