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dfhgf</w:t>
      </w:r>
    </w:p>
    <w:p>
      <w:pPr>
        <w:pStyle w:val="Heading3"/>
      </w:pPr>
      <w:r>
        <w:t>Problem statement</w:t>
      </w:r>
    </w:p>
    <w:p>
      <w:r>
        <w:t>Описание проблемы: nhg. Дополнительные аспекты проблемы и ее влияние на бизнес-показатели требуют уточнения на основании исходных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hfghfgh</w:t>
      </w:r>
    </w:p>
    <w:p>
      <w:pPr>
        <w:pStyle w:val="ListBullet"/>
      </w:pPr>
      <w:r>
        <w:t>Детализация бизнес-целей, их приоритизация и количественные ориентиры требуют уточнения на основании исходных данных.</w:t>
      </w:r>
    </w:p>
    <w:p>
      <w:pPr>
        <w:pStyle w:val="Heading3"/>
      </w:pPr>
      <w:r>
        <w:t>Target users</w:t>
      </w:r>
    </w:p>
    <w:p>
      <w:pPr>
        <w:pStyle w:val="ListBullet"/>
      </w:pPr>
      <w:r>
        <w:t>fghfgbhg</w:t>
      </w:r>
    </w:p>
    <w:p>
      <w:pPr>
        <w:pStyle w:val="ListBullet"/>
      </w:pPr>
      <w:r>
        <w:t>Перечень и сегментация целевых пользователей, а также их ключевые потребности требуют уточнения на основании исходных данных.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Реализация инициативы, описанной как: hgfh.</w:t>
      </w:r>
    </w:p>
    <w:p>
      <w:pPr>
        <w:pStyle w:val="ListBullet"/>
      </w:pPr>
      <w:r>
        <w:t>Обеспечение целевого пользовательского потока: gfdgfdhgf.</w:t>
      </w:r>
    </w:p>
    <w:p>
      <w:pPr>
        <w:pStyle w:val="ListBullet"/>
      </w:pPr>
      <w:r>
        <w:t>Обеспечение выполнения ключевых действий пользователя: hgfhgf.</w:t>
      </w:r>
    </w:p>
    <w:p>
      <w:pPr>
        <w:pStyle w:val="ListBullet"/>
      </w:pPr>
      <w:r>
        <w:t>Детализация ожидаемых бизнес- и пользовательских эффектов, а также их количественная оценка требуют уточнения на основании исходных данных.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hgfhgfh</w:t>
      </w:r>
    </w:p>
    <w:p>
      <w:pPr>
        <w:pStyle w:val="ListBullet"/>
      </w:pPr>
      <w:r>
        <w:t>fgbghnhgnhgn</w:t>
      </w:r>
    </w:p>
    <w:p>
      <w:pPr>
        <w:pStyle w:val="ListBullet"/>
      </w:pPr>
      <w:r>
        <w:t>Точные целевые значения метрик, периодичность измерения и источники данных для оценки успеха требуют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Ограничения инициативы: gfhgfhgf.</w:t>
      </w:r>
    </w:p>
    <w:p>
      <w:pPr>
        <w:pStyle w:val="ListBullet"/>
      </w:pPr>
      <w:r>
        <w:t>Ожидания и влияние заинтересованных сторон: sfdgdfg.</w:t>
      </w:r>
    </w:p>
    <w:p>
      <w:pPr>
        <w:pStyle w:val="ListBullet"/>
      </w:pPr>
      <w:r>
        <w:t>Функциональные и нефункциональные границы системы требуют уточнения на основании исходных данных.</w:t>
      </w:r>
    </w:p>
    <w:p>
      <w:pPr>
        <w:pStyle w:val="ListBullet"/>
      </w:pPr>
      <w:r>
        <w:t>Перечень ключевых рисков (регуляторных, операционных, технологических, репутационных) и план их управления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