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ускорения подготовки требований</w:t>
      </w:r>
    </w:p>
    <w:p>
      <w:pPr>
        <w:pStyle w:val="Heading3"/>
      </w:pPr>
      <w:r>
        <w:t>Problem statement</w:t>
      </w:r>
    </w:p>
    <w:p>
      <w:r>
        <w:t>В текущем процессе сбора и оформления требований в Forte Bank наблюдаются следующие проблемы:</w:t>
        <w:br/>
        <w:t>- Требования собираются длительно и неструктурированно, требуется множество итераций на уточнение и переписывание.</w:t>
        <w:br/>
        <w:t>- Часто пропускаются критичные элементы: ограничения, альтернативные и негативные сценарии (unhappy paths), роли участников, критерии приемки.</w:t>
        <w:br/>
        <w:t>- Документы создаются в разных форматах и по разным шаблонам, отсутствует единый стандарт оформления.</w:t>
        <w:br/>
        <w:t>- Существенная доля времени бизнес-аналитиков уходит на техническое оформление документов вместо анализа и проработки сути требований.</w:t>
        <w:br/>
        <w:t>- Возникают риски просрочек и переделок на этапах разработки из-за недопонимания между бизнес-заказчиками и ИТ-командами.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полного пакета BA-документов (Vision, Scope, Use Case/User Story, BPMN, критерии приемки) с нескольких дней до часов за счет автоматизации сбора и структурирования требований.</w:t>
      </w:r>
    </w:p>
    <w:p>
      <w:pPr>
        <w:pStyle w:val="ListBullet"/>
      </w:pPr>
      <w:r>
        <w:t>Повысить полноту и качество требований за счет автоматического выявления пробелов, конфликтующих требований и рисков, включая unhappy paths, роли, ограничения и критерии приемки.</w:t>
      </w:r>
    </w:p>
    <w:p>
      <w:pPr>
        <w:pStyle w:val="ListBullet"/>
      </w:pPr>
      <w:r>
        <w:t>Обеспечить единый стандарт и формат BA-документов в соответствии с шаблонами и терминологией банка для всех инициатив.</w:t>
      </w:r>
    </w:p>
    <w:p>
      <w:pPr>
        <w:pStyle w:val="ListBullet"/>
      </w:pPr>
      <w:r>
        <w:t>Снизить долю переделок и изменений на поздних этапах разработки, связанных с некачественно сформулированными или неполными требованиями.</w:t>
      </w:r>
    </w:p>
    <w:p>
      <w:pPr>
        <w:pStyle w:val="ListBullet"/>
      </w:pPr>
      <w:r>
        <w:t>Перенаправить фокус бизнес-аналитиков с рутинного оформления документов на анализ, проработку решений и управление рисками.</w:t>
      </w:r>
    </w:p>
    <w:p>
      <w:pPr>
        <w:pStyle w:val="ListBullet"/>
      </w:pPr>
      <w:r>
        <w:t>Повысить прозрачность и управляемость портфеля инициатив за счет унифицированных кейсов, стандартных документов и доступных метрик по срокам и качеству подготовки требований.</w:t>
      </w:r>
    </w:p>
    <w:p>
      <w:pPr>
        <w:pStyle w:val="ListBullet"/>
      </w:pPr>
      <w:r>
        <w:t>Обеспечить контролируемый и безопасный процесс использования AI с обязательным участием бизнес-аналитика (human-in-the-loop) и соблюдением требований конфиденциальности.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внутренних инициатив (подразделения продукта, маркетинга, операций).</w:t>
      </w:r>
    </w:p>
    <w:p>
      <w:pPr>
        <w:pStyle w:val="ListBullet"/>
      </w:pPr>
      <w:r>
        <w:t>Бизнес-аналитики и системные аналитики, отвечающие за сбор и формализацию требований.</w:t>
      </w:r>
    </w:p>
    <w:p>
      <w:pPr>
        <w:pStyle w:val="ListBullet"/>
      </w:pPr>
      <w:r>
        <w:t>Руководители проектов, продуктовые владельцы (PM/PO), участвующие в запуске и согласовании инициатив.</w:t>
      </w:r>
    </w:p>
    <w:p>
      <w:pPr>
        <w:pStyle w:val="ListBullet"/>
      </w:pPr>
      <w:r>
        <w:t>Разработчики и QA-специалисты как потребители четко сформулированных требований и критериев приемки.</w:t>
      </w:r>
    </w:p>
    <w:p>
      <w:pPr>
        <w:pStyle w:val="ListBullet"/>
      </w:pPr>
      <w:r>
        <w:t>Руководители и PMO, отвечающие за управление портфелем инициатив, сроки и ресурсы.</w:t>
      </w:r>
    </w:p>
    <w:p>
      <w:pPr>
        <w:pStyle w:val="ListBullet"/>
      </w:pPr>
      <w:r>
        <w:t>Подразделения комплаенса и информационной безопасности при необходимости контроля стандартов и аудита.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Сокращение Time-to-Requirements (TTR): уменьшение среднего времени от создания кейса до готовности первого полного пакета документов (Vision, Scope и базовые User Stories) с 2–3 дней до 1–2 часов или менее.</w:t>
      </w:r>
    </w:p>
    <w:p>
      <w:pPr>
        <w:pStyle w:val="ListBullet"/>
      </w:pPr>
      <w:r>
        <w:t>Сокращение времени до статуса "готово к разработке" (Time-to-Dev Ready) за счет ускорения согласования и утверждения документов бизнес-аналитиками и стейкхолдерами.</w:t>
      </w:r>
    </w:p>
    <w:p>
      <w:pPr>
        <w:pStyle w:val="ListBullet"/>
      </w:pPr>
      <w:r>
        <w:t>Снижение доли задач и эпиков, возвращаемых на переработку из-за некорректных или неполных требований (rework rate) и уменьшение количества существенных изменений scope после старта разработки.</w:t>
      </w:r>
    </w:p>
    <w:p>
      <w:pPr>
        <w:pStyle w:val="ListBullet"/>
      </w:pPr>
      <w:r>
        <w:t>Снижение доли дефектов и инцидентов, причиной которых являются ошибки или пробелы в требованиях, за счет более полных и структурированных документов и явных критериев приемки.</w:t>
      </w:r>
    </w:p>
    <w:p>
      <w:pPr>
        <w:pStyle w:val="ListBullet"/>
      </w:pPr>
      <w:r>
        <w:t>Рост производительности бизнес-аналитиков: увеличение количества кейсов и пакетов документов, подготавливаемых одним аналитиком за единицу времени за счет автоматической генерации черновиков.</w:t>
      </w:r>
    </w:p>
    <w:p>
      <w:pPr>
        <w:pStyle w:val="ListBullet"/>
      </w:pPr>
      <w:r>
        <w:t>Повышение удовлетворенности бизнес-заказчиков и аналитиков (CSAT/NPS) за счет сокращения числа итераций согласования, большей прозрачности scope и предсказуемости результата.</w:t>
      </w:r>
    </w:p>
    <w:p>
      <w:pPr>
        <w:pStyle w:val="ListBullet"/>
      </w:pPr>
      <w:r>
        <w:t>Рост доли инициатив, для которых BA-документы формируются через Talap AI, по сравнению с ручной подготовкой, и формирование единого стандарта документации в банке.</w:t>
      </w:r>
    </w:p>
    <w:p>
      <w:pPr>
        <w:pStyle w:val="ListBullet"/>
      </w:pPr>
      <w:r>
        <w:t>Обеспечение прозрачного аудита процесса подготовки требований: наличие истории версий, фиксация действий по созданию и утверждению документов, контроль доступа и соблюдение требований безопасности.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среднего Time-to-Requirements (TTR) от создания кейса до готовности первого полного пакета документов с 2–3 дней до целевого значения (например, менее 4 часов) — конкретные пороговые значения требуют уточнения.</w:t>
      </w:r>
    </w:p>
    <w:p>
      <w:pPr>
        <w:pStyle w:val="ListBullet"/>
      </w:pPr>
      <w:r>
        <w:t>Снижение rework rate: уменьшение доли задач/эпиков, возвращенных на переработку из-за требований, на целевой процент — требует уточнения на основании исходных данных.</w:t>
      </w:r>
    </w:p>
    <w:p>
      <w:pPr>
        <w:pStyle w:val="ListBullet"/>
      </w:pPr>
      <w:r>
        <w:t>Снижение Change Request rate: уменьшение количества существенных изменений scope после старта разработки — целевые значения требуют уточнения.</w:t>
      </w:r>
    </w:p>
    <w:p>
      <w:pPr>
        <w:pStyle w:val="ListBullet"/>
      </w:pPr>
      <w:r>
        <w:t>Снижение доли дефектов/инцидентов, связанных с ошибками в требованиях, до целевого уровня — требует уточнения.</w:t>
      </w:r>
    </w:p>
    <w:p>
      <w:pPr>
        <w:pStyle w:val="ListBullet"/>
      </w:pPr>
      <w:r>
        <w:t>Достижение целевого уровня acceptance rate: доля документов, принимаемых бизнес-аналитиками с первой попытки (например, не менее 70% в течение пилотного периода) — конкретные значения требуют уточнения.</w:t>
      </w:r>
    </w:p>
    <w:p>
      <w:pPr>
        <w:pStyle w:val="ListBullet"/>
      </w:pPr>
      <w:r>
        <w:t>Достижение целевого уровня удовлетворенности пользователей (CSAT/NPS) среди бизнес-заказчиков и бизнес-аналитиков (например, CSAT не ниже 4,2 из 5) — конкретные пороги требуют уточнения.</w:t>
      </w:r>
    </w:p>
    <w:p>
      <w:pPr>
        <w:pStyle w:val="ListBullet"/>
      </w:pPr>
      <w:r>
        <w:t>Доля инициатив, в которых документы формируются через Talap AI, достигает целевого уровня (coverage по проектам/командам) — целевые значения требуют уточнения.</w:t>
      </w:r>
    </w:p>
    <w:p>
      <w:pPr>
        <w:pStyle w:val="ListBullet"/>
      </w:pPr>
      <w:r>
        <w:t>Соблюдение SLA по времени генерации документов: среднее время генерации Vision и Scope укладывается в установленный лимит (например, 2–3 минуты) — конкретные значения требуют уточнения.</w:t>
      </w:r>
    </w:p>
    <w:p>
      <w:pPr>
        <w:pStyle w:val="ListBullet"/>
      </w:pPr>
      <w:r>
        <w:t>Сохранение нулевого уровня инцидентов, связанных с нарушением конфиденциальности и несанкционированным доступом к данным (access violations = 0).</w:t>
      </w:r>
    </w:p>
    <w:p>
      <w:pPr>
        <w:pStyle w:val="ListBullet"/>
      </w:pPr>
      <w:r>
        <w:t>Наличие полной истории версий и утверждений по целевому проценту кейсов (audit completeness) — целевой порог требует уточнения.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утечки или некорректной обработки конфиденциальной информации и персональных данных при использовании AI-ассистента, необходимость внедрения фильтров, маскирования и ограничений на обработку чувствительных данных.</w:t>
      </w:r>
    </w:p>
    <w:p>
      <w:pPr>
        <w:pStyle w:val="ListBullet"/>
      </w:pPr>
      <w:r>
        <w:t>Риск неточностей и "галлюцинаций" со стороны AI при генерации документов, что требует обязательного участия бизнес-аналитика (human-in-the-loop) для проверки и утверждения результатов.</w:t>
      </w:r>
    </w:p>
    <w:p>
      <w:pPr>
        <w:pStyle w:val="ListBullet"/>
      </w:pPr>
      <w:r>
        <w:t>Необходимость строгого соответствия сгенерированных документов внутренним стандартам банка, утвержденным шаблонам и терминологии, что ограничивает гибкость форматов и подходов к описанию требований.</w:t>
      </w:r>
    </w:p>
    <w:p>
      <w:pPr>
        <w:pStyle w:val="ListBullet"/>
      </w:pPr>
      <w:r>
        <w:t>Ограничения и сложности интеграции с внешними системами (например, Jira и Confluence) из-за прав доступа, сетевой инфраструктуры, квот и ограничений API, что может повлиять на полноту автоматического экспорта и синхронизации.</w:t>
      </w:r>
    </w:p>
    <w:p>
      <w:pPr>
        <w:pStyle w:val="ListBullet"/>
      </w:pPr>
      <w:r>
        <w:t>Риск увеличения зависимости от AI-инструмента при недостаточной зрелости процессов и шаблонов требований, что может привести к формальному использованию без реального повышения качества.</w:t>
      </w:r>
    </w:p>
    <w:p>
      <w:pPr>
        <w:pStyle w:val="ListBullet"/>
      </w:pPr>
      <w:r>
        <w:t>Вероятность сопротивления изменениям со стороны пользователей (бизнес-заказчиков и аналитиков) при переходе на новый формат работы и единые стандарты документации — требует управления изменениями.</w:t>
      </w:r>
    </w:p>
    <w:p>
      <w:pPr>
        <w:pStyle w:val="ListBullet"/>
      </w:pPr>
      <w:r>
        <w:t>Ограничения по качеству входных данных: при неполных или некорректных ответах заказчика на вопросы брифа качество сгенерированных документов будет ограничено.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