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Создание базы IMEI для предотвращения покупки ломбардами украденных или утерянных устройств</w:t>
      </w:r>
    </w:p>
    <w:p>
      <w:pPr>
        <w:pStyle w:val="Heading3"/>
      </w:pPr>
      <w:r>
        <w:t>Problem statement</w:t>
      </w:r>
    </w:p>
    <w:p>
      <w:r>
        <w:t>Отсутствует централизованная и доступная для ломбардов база IMEI, позволяющая оперативно проверять статус устройства (украдено, утеряно, в розыске и т.п.). Это создает риск покупки ломбардами украденных или утерянных устройств, повышает правовые и репутационные риски для участников рынка и не способствует снижению оборота похищенной техники.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Создать централизованную базу IMEI для проверки статуса устройств ломбардами</w:t>
      </w:r>
    </w:p>
    <w:p>
      <w:pPr>
        <w:pStyle w:val="ListBullet"/>
      </w:pPr>
      <w:r>
        <w:t>Снизить вероятность покупки ломбардами украденных или утерянных устройств</w:t>
      </w:r>
    </w:p>
    <w:p>
      <w:pPr>
        <w:pStyle w:val="ListBullet"/>
      </w:pPr>
      <w:r>
        <w:t>Снизить правовые и репутационные риски для ломбардов, связанных с оборотом похищенной техники</w:t>
      </w:r>
    </w:p>
    <w:p>
      <w:pPr>
        <w:pStyle w:val="ListBullet"/>
      </w:pPr>
      <w:r>
        <w:t>Повысить прозрачность операций с устройствами, идентифицируемыми по IMEI</w:t>
      </w:r>
    </w:p>
    <w:p>
      <w:pPr>
        <w:pStyle w:val="Heading3"/>
      </w:pPr>
      <w:r>
        <w:t>Target users</w:t>
      </w:r>
    </w:p>
    <w:p>
      <w:pPr>
        <w:pStyle w:val="ListBullet"/>
      </w:pPr>
      <w:r>
        <w:t>Ломбарды как основные пользователи системы проверки IMEI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Наличие функционирующей базы IMEI, доступной для проверки ломбардом перед покупкой устройства</w:t>
      </w:r>
    </w:p>
    <w:p>
      <w:pPr>
        <w:pStyle w:val="ListBullet"/>
      </w:pPr>
      <w:r>
        <w:t>Сокращение случаев покупки ломбардами украденных или утерянных устройств</w:t>
      </w:r>
    </w:p>
    <w:p>
      <w:pPr>
        <w:pStyle w:val="ListBullet"/>
      </w:pPr>
      <w:r>
        <w:t>Повышение доверия к ломбардам со стороны клиентов и регуляторов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Наличие и работоспособность базы IMEI для проверки статуса устройства</w:t>
      </w:r>
    </w:p>
    <w:p>
      <w:pPr>
        <w:pStyle w:val="ListBullet"/>
      </w:pPr>
      <w:r>
        <w:t>Использование базы IMEI ломбардами при совершении операций с устройствами</w:t>
      </w:r>
    </w:p>
    <w:p>
      <w:pPr>
        <w:pStyle w:val="ListBullet"/>
      </w:pPr>
      <w:r>
        <w:t>Снижение доли или количества случаев покупки украденных или утерянных устройств ломбардами (метрики требуют уточнения на основании исходных данных)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ListBullet"/>
      </w:pPr>
      <w:r>
        <w:t>Возможные ограничения по полноте и актуальности данных IMEI (источники и периодичность обновления требуют уточнения)</w:t>
      </w:r>
    </w:p>
    <w:p>
      <w:pPr>
        <w:pStyle w:val="ListBullet"/>
      </w:pPr>
      <w:r>
        <w:t>Потенциальные правовые и регуляторные ограничения на сбор, хранение и использование данных IMEI (требует уточнения)</w:t>
      </w:r>
    </w:p>
    <w:p>
      <w:pPr>
        <w:pStyle w:val="ListBullet"/>
      </w:pPr>
      <w:r>
        <w:t>Риски низкой вовлеченности ломбардов в использование базы IMEI (мотивация и обязательность использования требуют уточнения)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