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Qoldau SME — цифровой помощник для малого бизнеса по получению финансирования и господдержки</w:t>
      </w:r>
    </w:p>
    <w:p>
      <w:pPr>
        <w:pStyle w:val="Heading3"/>
      </w:pPr>
      <w:r>
        <w:t>Problem statement</w:t>
      </w:r>
    </w:p>
    <w:p>
      <w:r>
        <w:t>Малый бизнес сталкивается с рядом затруднений при получении банковского финансирования и участии в программах господдержки (кредиты, гранты, субсидии):</w:t>
        <w:br/>
        <w:t>- Предприниматели не понимают, какие программы им подходят и какие условия реально применимы к их бизнесу.</w:t>
        <w:br/>
        <w:t>- Процесс сбора документов неструктурирован: используются разные шаблоны, многократный ввод одних и тех же данных, высока доля ошибок и возвратов.</w:t>
        <w:br/>
        <w:t>- Отслеживание статусов рассмотрения заявок в банках и госорганах затруднено, значительная часть коммуникаций ведётся вручную (звонки, письма).</w:t>
        <w:br/>
        <w:t>- Высокий процент отказов по заявкам обусловлен несоответствием требованиям программ и некорректным заполнением документов и анкет.</w:t>
        <w:br/>
        <w:t>Отсутствует единый цифровой инструмент, который бы позволял предпринимателю в одном окне подобрать релевантные программы, подготовить корректный пакет документов, подать заявки и прозрачно отслеживать статусы.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и подачи заявки на финансирование или участие в программе господдержки за счёт цифровизации процесса (анкета, подбор программ, формирование пакета документов, подача и трекинг статусов в одном сервисе).</w:t>
      </w:r>
    </w:p>
    <w:p>
      <w:pPr>
        <w:pStyle w:val="ListBullet"/>
      </w:pPr>
      <w:r>
        <w:t>Повысить качество и полноту подаваемых заявок за счёт структурированной анкеты, чек-листов документов и автозаполнения шаблонов заявлений на основе введённых данных.</w:t>
      </w:r>
    </w:p>
    <w:p>
      <w:pPr>
        <w:pStyle w:val="ListBullet"/>
      </w:pPr>
      <w:r>
        <w:t>Снизить долю ошибок, возвратов и отказов, связанных с некорректным заполнением и несоответствием формальным требованиям программ, за счёт базовой скоринг-логики и правил отбора программ.</w:t>
      </w:r>
    </w:p>
    <w:p>
      <w:pPr>
        <w:pStyle w:val="ListBullet"/>
      </w:pPr>
      <w:r>
        <w:t>Обеспечить прозрачность статусов рассмотрения заявок для предпринимателей, банков и операторов господдержки через единый трекер статусов и систему уведомлений.</w:t>
      </w:r>
    </w:p>
    <w:p>
      <w:pPr>
        <w:pStyle w:val="ListBullet"/>
      </w:pPr>
      <w:r>
        <w:t>Снизить нагрузку на фронт-офисы банков, госорганов и операторов программ за счёт повышения качества входящих заявок и уменьшения количества ручных запросов и уточнений.</w:t>
      </w:r>
    </w:p>
    <w:p>
      <w:pPr>
        <w:pStyle w:val="ListBullet"/>
      </w:pPr>
      <w:r>
        <w:t>Создать измеримую продуктовую основу для дальнейшего развития сервиса (метрики конверсий, отказов, времени прохождения процесса, удовлетворённости пользователей).</w:t>
      </w:r>
    </w:p>
    <w:p>
      <w:pPr>
        <w:pStyle w:val="ListBullet"/>
      </w:pPr>
      <w:r>
        <w:t>Обеспечить соответствие требованиям по безопасности и хранению персональных и финансовых данных, включая локализацию данных и контроль доступа.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Индивидуальные предприниматели (ИП) малого бизнеса в сегментах: торговля, услуги, общественное питание, производство.</w:t>
      </w:r>
    </w:p>
    <w:p>
      <w:pPr>
        <w:pStyle w:val="ListBullet"/>
      </w:pPr>
      <w:r>
        <w:t>Товарищества с ограниченной ответственностью (ТОО) малого бизнеса в указанных сегментах.</w:t>
      </w:r>
    </w:p>
    <w:p>
      <w:pPr>
        <w:pStyle w:val="ListBullet"/>
      </w:pPr>
      <w:r>
        <w:t>Начинающие предприниматели (срок деятельности 0–12 месяцев), планирующие привлечение финансирования или участие в программах господдержки.</w:t>
      </w:r>
    </w:p>
    <w:p>
      <w:pPr>
        <w:pStyle w:val="ListBullet"/>
      </w:pPr>
      <w:r>
        <w:t>Бухгалтеры и менеджеры, подающие заявки от имени бизнеса (внутренние сотрудники компаний).</w:t>
      </w:r>
    </w:p>
    <w:p>
      <w:pPr>
        <w:pStyle w:val="ListBullet"/>
      </w:pPr>
      <w:r>
        <w:t>Аутсорс-бухгалтеры, консалтинговые компании, агентства и брокеры, которые помогают предпринимателям собирать документы и подавать заявки массово.</w:t>
      </w:r>
    </w:p>
    <w:p>
      <w:pPr>
        <w:pStyle w:val="ListBullet"/>
      </w:pPr>
      <w:r>
        <w:t>Банк / кредитная организация (кредитные подразделения, риск-менеджмент, комплаенс, андеррайтинг) как получатель более качественных и структурированных заявок.</w:t>
      </w:r>
    </w:p>
    <w:p>
      <w:pPr>
        <w:pStyle w:val="ListBullet"/>
      </w:pPr>
      <w:r>
        <w:t>Госорганы и операторы программ господдержки (министерства, фонды, акиматы, операторы субсидий) как получатели корректных данных и заявок.</w:t>
      </w:r>
    </w:p>
    <w:p>
      <w:pPr>
        <w:pStyle w:val="ListBullet"/>
      </w:pPr>
      <w:r>
        <w:t>Партнёры-провайдеры данных и идентификации (eGov/ЭЦП, KYC/AML-провайдеры, бюро кредитных историй) как инфраструктурные участники процессов верификации и подписания.</w:t>
      </w:r>
    </w:p>
    <w:p>
      <w:pPr>
        <w:pStyle w:val="ListBullet"/>
      </w:pPr>
      <w:r>
        <w:t>Внутренние функции владельца сервиса: юристы, служба информационной безопасности / DPO, операционная поддержка/колл-центр, Product/IT команда.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для предпринимателей единого веб/мобайл-сервиса, в котором за 10–15 минут можно ввести базовые данные о бизнесе, получить короткий список релевантных программ с указанием требований и ориентировочной вероятности одобрения, а также сформировать чек-лист необходимых документов.</w:t>
      </w:r>
    </w:p>
    <w:p>
      <w:pPr>
        <w:pStyle w:val="ListBullet"/>
      </w:pPr>
      <w:r>
        <w:t>Возможность автоматической генерации пакета документов (шаблоны заявлений, заполненные на основе анкеты) и загрузки/хранения файлов с базовой валидацией форматов и размеров.</w:t>
      </w:r>
    </w:p>
    <w:p>
      <w:pPr>
        <w:pStyle w:val="ListBullet"/>
      </w:pPr>
      <w:r>
        <w:t>Реализация базовой скоринг-логики и правил подбора программ (кредиты, лизинг, субсидии, гранты) на основе профиля бизнеса и цели финансирования.</w:t>
      </w:r>
    </w:p>
    <w:p>
      <w:pPr>
        <w:pStyle w:val="ListBullet"/>
      </w:pPr>
      <w:r>
        <w:t>Наличие единого трекера статусов заявок с минимальным набором статусов (например: черновик, отправлено, запрос дополнительных документов, одобрено, отказ) и системой уведомлений (email, Telegram, внутри приложения).</w:t>
      </w:r>
    </w:p>
    <w:p>
      <w:pPr>
        <w:pStyle w:val="ListBullet"/>
      </w:pPr>
      <w:r>
        <w:t>Снижение количества ручных коммуникаций (звонки, письма) по вопросам статусов и комплектности документов за счёт прозрачного отображения требований и статусов в сервисе.</w:t>
      </w:r>
    </w:p>
    <w:p>
      <w:pPr>
        <w:pStyle w:val="ListBullet"/>
      </w:pPr>
      <w:r>
        <w:t>Создание процесса и ролей для поддержания актуальности каталога программ (регламент обновлений, ответственные лица, контроль качества и мониторинг изменений).</w:t>
      </w:r>
    </w:p>
    <w:p>
      <w:pPr>
        <w:pStyle w:val="ListBullet"/>
      </w:pPr>
      <w:r>
        <w:t>Формирование инфраструктуры для безопасной обработки и хранения персональных и финансовых данных с учётом требований локализации, согласий на обработку и передачи данных партнёрам.</w:t>
      </w:r>
    </w:p>
    <w:p>
      <w:pPr>
        <w:pStyle w:val="ListBullet"/>
      </w:pPr>
      <w:r>
        <w:t>Наличие системы сбора и анализа продуктовых и бизнес-метрик (воронка по шагам, конверсии, причины отказов, время прохождения процесса, показатели поддержки) для управления развитием сервиса.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Conversion в завершение анкеты: доля пользователей, полностью заполнивших профиль бизнеса (анкета) от числа начавших заполнение.</w:t>
      </w:r>
    </w:p>
    <w:p>
      <w:pPr>
        <w:pStyle w:val="ListBullet"/>
      </w:pPr>
      <w:r>
        <w:t>Time-to-apply: среднее время от момента регистрации пользователя до формирования готовой к отправке заявки или пакета документов.</w:t>
      </w:r>
    </w:p>
    <w:p>
      <w:pPr>
        <w:pStyle w:val="ListBullet"/>
      </w:pPr>
      <w:r>
        <w:t>Submission rate: доля пользователей, которые отправили заявку через сервис или сформировали полный пакет документов для подачи, от числа пользователей, начавших процесс.</w:t>
      </w:r>
    </w:p>
    <w:p>
      <w:pPr>
        <w:pStyle w:val="ListBullet"/>
      </w:pPr>
      <w:r>
        <w:t>Approval rate uplift: рост доли одобренных заявок, поданных через сервис, по сравнению с базовым сценарием «ручной подачи» (на основе контрольной группы).</w:t>
      </w:r>
    </w:p>
    <w:p>
      <w:pPr>
        <w:pStyle w:val="ListBullet"/>
      </w:pPr>
      <w:r>
        <w:t>Drop-off по шагам: распределение и снижение доли пользователей, прекращающих процесс на ключевых этапах (анкета, загрузка документов, подписание, отправка).</w:t>
      </w:r>
    </w:p>
    <w:p>
      <w:pPr>
        <w:pStyle w:val="ListBullet"/>
      </w:pPr>
      <w:r>
        <w:t>Показатели удовлетворённости пользователей процессом подачи (NPS/CSAT) по результатам опросов внутри сервиса.</w:t>
      </w:r>
    </w:p>
    <w:p>
      <w:pPr>
        <w:pStyle w:val="ListBullet"/>
      </w:pPr>
      <w:r>
        <w:t>Retention: доля пользователей, возвращающихся в сервис для повторных заявок или использования новых программ (повторное использование сервиса).</w:t>
      </w:r>
    </w:p>
    <w:p>
      <w:pPr>
        <w:pStyle w:val="ListBullet"/>
      </w:pPr>
      <w:r>
        <w:t>Снижение количества обращений в поддержку по вопросам статусов и комплектности документов (при наличии базовой статистики до запуска — относительное снижение; при отсутствии — целевые значения после запуска).</w:t>
      </w:r>
    </w:p>
    <w:p>
      <w:pPr>
        <w:pStyle w:val="ListBullet"/>
      </w:pPr>
      <w:r>
        <w:t>Соблюдение требований по безопасности и хранению персональных и финансовых данных (отсутствие критичных инцидентов утечки данных, успешное прохождение внутренних проверок/аудитов).</w:t>
      </w:r>
    </w:p>
    <w:p>
      <w:pPr>
        <w:pStyle w:val="ListBullet"/>
      </w:pPr>
      <w:r>
        <w:t>Наличие и использование дашбордов с ключевыми метриками (воронка, конверсии, причины отказов, SLA поддержки) для регулярного управленческого анализа.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Интеграции с гос-системами и инфраструктурой ЭЦП могут быть сложными или недоступными на старте, что ограничит возможность полноценной онлайн-подачи заявок и потребует сценариев с формированием пакета документов для ручной подачи.</w:t>
      </w:r>
    </w:p>
    <w:p>
      <w:pPr>
        <w:pStyle w:val="ListBullet"/>
      </w:pPr>
      <w:r>
        <w:t>Интеграции с банками и операторами программ зависят от наличия и зрелости их API, договорённостей о доступе, форматов данных, SLA и ограничений по использованию; возможна неоднородность и частичная автоматизация процессов.</w:t>
      </w:r>
    </w:p>
    <w:p>
      <w:pPr>
        <w:pStyle w:val="ListBullet"/>
      </w:pPr>
      <w:r>
        <w:t>Юридические требования к хранению и обработке персональных и финансовых данных (включая локализацию баз данных на территории соответствующей юрисдикции, режим банковской тайны, договоры с третьими лицами) накладывают ограничения на архитектуру и выбор инфраструктуры.</w:t>
      </w:r>
    </w:p>
    <w:p>
      <w:pPr>
        <w:pStyle w:val="ListBullet"/>
      </w:pPr>
      <w:r>
        <w:t>Риск некорректных ожиданий пользователей: сервис не может гарантировать одобрение заявок, поэтому формулировки рекомендаций и отображение вероятности одобрения должны быть юридически и репутационно выверены.</w:t>
      </w:r>
    </w:p>
    <w:p>
      <w:pPr>
        <w:pStyle w:val="ListBullet"/>
      </w:pPr>
      <w:r>
        <w:t>Качество исходных данных от пользователей (неполные, ошибочные или устаревшие данные и документы) может приводить к возвратам и отказам, что ограничивает эффект от автоматизации без дополнительных механизмов валидации и подсказок.</w:t>
      </w:r>
    </w:p>
    <w:p>
      <w:pPr>
        <w:pStyle w:val="ListBullet"/>
      </w:pPr>
      <w:r>
        <w:t>Обновляемость каталога программ: условия программ (ставки, требования, сроки, доступность) регулярно меняются; необходим формализованный процесс актуализации и контроль качества, без чего возрастает риск предоставления пользователям устаревшей информации.</w:t>
      </w:r>
    </w:p>
    <w:p>
      <w:pPr>
        <w:pStyle w:val="ListBullet"/>
      </w:pPr>
      <w:r>
        <w:t>Зависимость пользовательского опыта от внешних компонентов (например, NCALayer или мобильные решения для ЭЦП) может приводить к техническим затруднениям у части пользователей и снижать конверсию на этапе подписания.</w:t>
      </w:r>
    </w:p>
    <w:p>
      <w:pPr>
        <w:pStyle w:val="ListBullet"/>
      </w:pPr>
      <w:r>
        <w:t>Ограничения по доступу к данным кредитных бюро и другим провайдерам данных (договоры, согласия клиентов, комплаенс) могут ограничить глубину скоринговой логики и точность оценки вероятности одобрения.</w:t>
      </w:r>
    </w:p>
    <w:p>
      <w:pPr>
        <w:pStyle w:val="ListBullet"/>
      </w:pPr>
      <w:r>
        <w:t>Требует уточнения на основании исходных данных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