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Talap AI — внутренний AI-ассистент Forte Bank для автоматизации подготовки BA-документов</w:t>
      </w:r>
    </w:p>
    <w:p>
      <w:pPr>
        <w:pStyle w:val="Heading3"/>
      </w:pPr>
      <w:r>
        <w:t>Problem statement</w:t>
      </w:r>
    </w:p>
    <w:p>
      <w:r>
        <w:t>В текущем процессе запуска инициатив в банке подготовка пакета бизнес-аналитической документации (Vision, Scope, Use Case/User Story, BPMN, критерии приемки) занимает значительное время и подвержена рискам неполных или размытых требований. Это приводит к замедлению старта инициатив, увеличению количества итераций согласования, росту объема доработок и дефектов, связанных с качеством требований, а также снижает прозрачность и управляемость процесса для вовлеченных стейкхолдеров. Требует уточнения на основании исходных данных: количественные показатели текущей длительности подготовки документов, уровень rework rate и число итераций согласования.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Сократить время подготовки полного пакета BA-документов за счет использования внутреннего AI-ассистента Talap AI, который собирает потребности от заказчика за 10–15 минут и автоматически формирует документы (Vision, Scope, Use Case/User Story, BPMN, критерии приемки).</w:t>
      </w:r>
    </w:p>
    <w:p>
      <w:pPr>
        <w:pStyle w:val="ListBullet"/>
      </w:pPr>
      <w:r>
        <w:t>Ускорить запуск инициатив за счет уменьшения длительности этапа сбора и формализации требований.</w:t>
      </w:r>
    </w:p>
    <w:p>
      <w:pPr>
        <w:pStyle w:val="ListBullet"/>
      </w:pPr>
      <w:r>
        <w:t>Снизить потери, связанные с неполными и размытыми требованиями, за счет стандартизации и автоматизации формирования BA-документов.</w:t>
      </w:r>
    </w:p>
    <w:p>
      <w:pPr>
        <w:pStyle w:val="ListBullet"/>
      </w:pPr>
      <w:r>
        <w:t>Обеспечить более четкие и структурированные требования для последующих этапов разработки и тестирования.</w:t>
      </w:r>
    </w:p>
    <w:p>
      <w:pPr>
        <w:pStyle w:val="ListBullet"/>
      </w:pPr>
      <w:r>
        <w:t>Повысить прозрачность и управляемость процесса подготовки требований для вовлеченных стейкхолдеров. Требует уточнения на основании исходных данных.</w:t>
      </w:r>
    </w:p>
    <w:p>
      <w:pPr>
        <w:pStyle w:val="Heading3"/>
      </w:pPr>
      <w:r>
        <w:t>Target users</w:t>
      </w:r>
    </w:p>
    <w:p>
      <w:pPr>
        <w:pStyle w:val="ListBullet"/>
      </w:pPr>
      <w:r>
        <w:t>Бизнес-заказчики внутренних инициатив (подразделения продуктового блока, маркетинга, операций).</w:t>
      </w:r>
    </w:p>
    <w:p>
      <w:pPr>
        <w:pStyle w:val="ListBullet"/>
      </w:pPr>
      <w:r>
        <w:t>Бизнес-аналитики.</w:t>
      </w:r>
    </w:p>
    <w:p>
      <w:pPr>
        <w:pStyle w:val="ListBullet"/>
      </w:pPr>
      <w:r>
        <w:t>Системные аналитики.</w:t>
      </w:r>
    </w:p>
    <w:p>
      <w:pPr>
        <w:pStyle w:val="ListBullet"/>
      </w:pPr>
      <w:r>
        <w:t>Руководители проектов и владельцы продуктов (PM/PO).</w:t>
      </w:r>
    </w:p>
    <w:p>
      <w:pPr>
        <w:pStyle w:val="ListBullet"/>
      </w:pPr>
      <w:r>
        <w:t>Разработчики как потребители четких и структурированных требований. Вторичная аудитория.</w:t>
      </w:r>
    </w:p>
    <w:p>
      <w:pPr>
        <w:pStyle w:val="ListBullet"/>
      </w:pPr>
      <w:r>
        <w:t>Специалисты по тестированию (QA) как потребители четких и структурированных требований. Вторичная аудитория.</w:t>
      </w:r>
    </w:p>
    <w:p>
      <w:pPr>
        <w:pStyle w:val="ListBullet"/>
      </w:pPr>
      <w:r>
        <w:t>Руководители для обеспечения прозрачности и контроля за процессом подготовки требований. Вторичная аудитория.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Автоматизированное формирование пакета BA-документов (Vision, Scope, Use Case/User Story, BPMN, критерии приемки) на основании потребностей, собранных от заказчика за 10–15 минут.</w:t>
      </w:r>
    </w:p>
    <w:p>
      <w:pPr>
        <w:pStyle w:val="ListBullet"/>
      </w:pPr>
      <w:r>
        <w:t>Сокращение времени подготовки BA-пакета по сравнению с текущим процессом (ориентир: переход от 2–3 дней к 1–2 часам).</w:t>
      </w:r>
    </w:p>
    <w:p>
      <w:pPr>
        <w:pStyle w:val="ListBullet"/>
      </w:pPr>
      <w:r>
        <w:t>Снижение количества итераций согласования требований за счет повышения полноты и структурированности исходного пакета документов.</w:t>
      </w:r>
    </w:p>
    <w:p>
      <w:pPr>
        <w:pStyle w:val="ListBullet"/>
      </w:pPr>
      <w:r>
        <w:t>Снижение количества дефектов и переделок, связанных с качеством требований (rework rate).</w:t>
      </w:r>
    </w:p>
    <w:p>
      <w:pPr>
        <w:pStyle w:val="ListBullet"/>
      </w:pPr>
      <w:r>
        <w:t>Повышение удовлетворенности пользователей (бизнес-заказчиков и бизнес-аналитиков) процессом подготовки требований. Требует уточнения на основании исходных данных.</w:t>
      </w:r>
    </w:p>
    <w:p>
      <w:pPr>
        <w:pStyle w:val="ListBullet"/>
      </w:pPr>
      <w:r>
        <w:t>Рост доли проектов, в которых BA-документы формируются с использованием Talap AI.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Сокращение времени подготовки BA-пакета с 2–3 дней до 1–2 часов. Требует уточнения на основании исходных данных по базовому уровню.</w:t>
      </w:r>
    </w:p>
    <w:p>
      <w:pPr>
        <w:pStyle w:val="ListBullet"/>
      </w:pPr>
      <w:r>
        <w:t>Доля кейсов, прошедших утверждение с 1–2 итераций согласования требований.</w:t>
      </w:r>
    </w:p>
    <w:p>
      <w:pPr>
        <w:pStyle w:val="ListBullet"/>
      </w:pPr>
      <w:r>
        <w:t>Снижение уровня дефектов и переделок, связанных с требованиями (rework rate). Требует уточнения методики измерения.</w:t>
      </w:r>
    </w:p>
    <w:p>
      <w:pPr>
        <w:pStyle w:val="ListBullet"/>
      </w:pPr>
      <w:r>
        <w:t>Соблюдение SLA на сбор требований: среднее время от статуса "создан кейс" до статуса "готово к разработке".</w:t>
      </w:r>
    </w:p>
    <w:p>
      <w:pPr>
        <w:pStyle w:val="ListBullet"/>
      </w:pPr>
      <w:r>
        <w:t>Уровень удовлетворенности пользователей (CSAT/NPS) среди бизнес-аналитиков и бизнес-заказчиков. Требует уточнения целевых значений.</w:t>
      </w:r>
    </w:p>
    <w:p>
      <w:pPr>
        <w:pStyle w:val="ListBullet"/>
      </w:pPr>
      <w:r>
        <w:t>Доля использования Talap AI: процент проектов, в которых BA-документы сформированы через Talap AI.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Требует уточнения на основании исходных данных: риски качества автоматически сформированных документов (полнота, корректность, соответствие внутренним стандартам банка).</w:t>
      </w:r>
    </w:p>
    <w:p>
      <w:pPr>
        <w:pStyle w:val="ListBullet"/>
      </w:pPr>
      <w:r>
        <w:t>Требует уточнения на основании исходных данных: риски принятия и использования Talap AI целевыми пользователями (бизнес-заказчики, аналитики, PM/PO).</w:t>
      </w:r>
    </w:p>
    <w:p>
      <w:pPr>
        <w:pStyle w:val="ListBullet"/>
      </w:pPr>
      <w:r>
        <w:t>Требует уточнения на основании исходных данных: ограничения по интеграции Talap AI с существующими системами и процессами управления требованиями.</w:t>
      </w:r>
    </w:p>
    <w:p>
      <w:pPr>
        <w:pStyle w:val="ListBullet"/>
      </w:pPr>
      <w:r>
        <w:t>Требует уточнения на основании исходных данных: требования к информационной безопасности и конфиденциальности данных при использовании внутреннего AI-ассистента.</w:t>
      </w:r>
    </w:p>
    <w:p>
      <w:pPr>
        <w:pStyle w:val="ListBullet"/>
      </w:pPr>
      <w:r>
        <w:t>Требует уточнения на основании исходных данных: возможные ограничения по масштабированию решения на все типы инициатив и подразделения банка.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