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3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TRANSACCIONES Y SEGURIDAD A.  Transacciones 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9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¿Cómo se define el comienzo y fin de una transacción en ORACLE?</w:t>
      </w:r>
    </w:p>
    <w:p w:rsidR="00000000" w:rsidDel="00000000" w:rsidP="00000000" w:rsidRDefault="00000000" w:rsidRPr="00000000" w14:paraId="00000003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OR REPLACE</w:t>
      </w:r>
    </w:p>
    <w:p w:rsidR="00000000" w:rsidDel="00000000" w:rsidP="00000000" w:rsidRDefault="00000000" w:rsidRPr="00000000" w14:paraId="00000004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PROCEDURE TRANSACCION (description)</w:t>
      </w:r>
    </w:p>
    <w:p w:rsidR="00000000" w:rsidDel="00000000" w:rsidP="00000000" w:rsidRDefault="00000000" w:rsidRPr="00000000" w14:paraId="00000005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IS</w:t>
      </w:r>
    </w:p>
    <w:p w:rsidR="00000000" w:rsidDel="00000000" w:rsidP="00000000" w:rsidRDefault="00000000" w:rsidRPr="00000000" w14:paraId="00000006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BEGIN</w:t>
      </w:r>
    </w:p>
    <w:p w:rsidR="00000000" w:rsidDel="00000000" w:rsidP="00000000" w:rsidRDefault="00000000" w:rsidRPr="00000000" w14:paraId="00000007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Write the code here</w:t>
      </w:r>
    </w:p>
    <w:p w:rsidR="00000000" w:rsidDel="00000000" w:rsidP="00000000" w:rsidRDefault="00000000" w:rsidRPr="00000000" w14:paraId="00000008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END;</w:t>
      </w:r>
    </w:p>
    <w:p w:rsidR="00000000" w:rsidDel="00000000" w:rsidP="00000000" w:rsidRDefault="00000000" w:rsidRPr="00000000" w14:paraId="00000009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/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9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¿Cuáles son los diferentes tipos de aislamiento que soporta ORACLE? </w:t>
      </w:r>
    </w:p>
    <w:p w:rsidR="00000000" w:rsidDel="00000000" w:rsidP="00000000" w:rsidRDefault="00000000" w:rsidRPr="00000000" w14:paraId="0000000B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cada uno de ellos detalle, ¿cómo maneja los bloqueos? ¿qué problemas resuelve?</w:t>
      </w:r>
    </w:p>
    <w:p w:rsidR="00000000" w:rsidDel="00000000" w:rsidP="00000000" w:rsidRDefault="00000000" w:rsidRPr="00000000" w14:paraId="0000000C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Serializable: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especifica que todas las transacciones ocurran de modo aislado, es decir, una Tras de otra.</w:t>
      </w:r>
    </w:p>
    <w:p w:rsidR="00000000" w:rsidDel="00000000" w:rsidP="00000000" w:rsidRDefault="00000000" w:rsidRPr="00000000" w14:paraId="0000000D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Lectura comprometida: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solo se permiten lecturas de datos comprometidos.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9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 es el tipo de aislamiento por defecto en ORACLE?</w:t>
      </w:r>
    </w:p>
    <w:p w:rsidR="00000000" w:rsidDel="00000000" w:rsidP="00000000" w:rsidRDefault="00000000" w:rsidRPr="00000000" w14:paraId="0000000F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read-committed: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Nivel de aislamiento por defecto. Cada consulta de una transacción solo ve los datos que fueron confirmados antes de que la consulta comenzara. Se producen lecturas no reproducibles.</w:t>
      </w:r>
    </w:p>
    <w:p w:rsidR="00000000" w:rsidDel="00000000" w:rsidP="00000000" w:rsidRDefault="00000000" w:rsidRPr="00000000" w14:paraId="00000010">
      <w:pPr>
        <w:pStyle w:val="Heading1"/>
        <w:ind w:left="8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 Seguridad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mecanismo de control de acceso discrecional, ¿cómo se define en ORACLE? Explicite acciones, objetos y personas autorizadas.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permisos se puede dar, quitarlos o revocarlos.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privilege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element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[user | role | PUBLIC]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[WITH GRANT OPTION]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Quitar: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REVOKE privilege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element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[user | role | PUBLIC]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[RESTRICT | CASCADE]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Existen 4 acciones: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[(columnas)]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[(columnas)]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[(columnas)]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8"/>
        </w:numPr>
        <w:ind w:left="369" w:hanging="29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Vistas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9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¿Cuáles son los mecanismos para la creación y borrado de vistas en ORACLE?</w:t>
      </w:r>
    </w:p>
    <w:p w:rsidR="00000000" w:rsidDel="00000000" w:rsidP="00000000" w:rsidRDefault="00000000" w:rsidRPr="00000000" w14:paraId="00000024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VIEW nombre_vista AS (consulta SQL);</w:t>
      </w:r>
    </w:p>
    <w:p w:rsidR="00000000" w:rsidDel="00000000" w:rsidP="00000000" w:rsidRDefault="00000000" w:rsidRPr="00000000" w14:paraId="00000025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DROP VIEW nombre_vista;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9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¿Cuáles son las restricciones de las vistas en ORACLE?</w:t>
      </w:r>
    </w:p>
    <w:p w:rsidR="00000000" w:rsidDel="00000000" w:rsidP="00000000" w:rsidRDefault="00000000" w:rsidRPr="00000000" w14:paraId="00000027">
      <w:pPr>
        <w:ind w:left="79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FORCE: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 la vista sin importar que la tabla base exista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WITH CHECK OPTION: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Especifica que solamente las filas accesibles a la vista pueden ser insertadas o actualizadas.</w:t>
      </w:r>
    </w:p>
    <w:p w:rsidR="00000000" w:rsidDel="00000000" w:rsidP="00000000" w:rsidRDefault="00000000" w:rsidRPr="00000000" w14:paraId="00000029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CONSTRAINT: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el nombre que se le asigna a los checks.</w:t>
      </w:r>
    </w:p>
    <w:p w:rsidR="00000000" w:rsidDel="00000000" w:rsidP="00000000" w:rsidRDefault="00000000" w:rsidRPr="00000000" w14:paraId="0000002A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WITH READ ONLY: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Asegura que ninguna operación pueda realizarse sobre esta vista,</w:t>
      </w:r>
    </w:p>
    <w:p w:rsidR="00000000" w:rsidDel="00000000" w:rsidP="00000000" w:rsidRDefault="00000000" w:rsidRPr="00000000" w14:paraId="0000002B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solamente la lectura.</w:t>
      </w:r>
    </w:p>
    <w:p w:rsidR="00000000" w:rsidDel="00000000" w:rsidP="00000000" w:rsidRDefault="00000000" w:rsidRPr="00000000" w14:paraId="0000002C">
      <w:pPr>
        <w:ind w:left="452" w:right="6786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D. Modularidad Paquetes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2.00000000000003" w:lineRule="auto"/>
        <w:ind w:left="797" w:right="6786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sirve un paquete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R/: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Sirve para guardar subprogramas en los que cada uno de estos son las historias de    casos de uso de cada usuario de la base de datos.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los mecanismos para la creación, invocación, modificación y borrado de paquetes en ORACLE?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R/: Crear: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OR REPLACE PACKAGE (NOMBRE)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Invocar: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Packete.Funcion (ARGUMENTOS)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Modificar: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PACKAGE (NOMBRE)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52.00000000000003" w:lineRule="auto"/>
        <w:ind w:left="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PACKAGE Paquete;</w:t>
      </w:r>
    </w:p>
    <w:p w:rsidR="00000000" w:rsidDel="00000000" w:rsidP="00000000" w:rsidRDefault="00000000" w:rsidRPr="00000000" w14:paraId="00000038">
      <w:pPr>
        <w:pStyle w:val="Heading1"/>
        <w:ind w:left="8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E. Cursores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9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¿Qué es un SYS_REFCURSOR?¿Para qué sirve?</w:t>
      </w:r>
    </w:p>
    <w:p w:rsidR="00000000" w:rsidDel="00000000" w:rsidP="00000000" w:rsidRDefault="00000000" w:rsidRPr="00000000" w14:paraId="0000003A">
      <w:pPr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una variable, definida como un cursor, que hace referencia a un resultado de un cursor.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Rule="auto"/>
        <w:ind w:left="79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¿Cómo se define, se asigna y se retorna? </w:t>
      </w:r>
    </w:p>
    <w:p w:rsidR="00000000" w:rsidDel="00000000" w:rsidP="00000000" w:rsidRDefault="00000000" w:rsidRPr="00000000" w14:paraId="0000003C">
      <w:pPr>
        <w:spacing w:after="0" w:lineRule="auto"/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R/: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TYPE var_refcursor IS REF CURSOR;</w:t>
      </w:r>
    </w:p>
    <w:p w:rsidR="00000000" w:rsidDel="00000000" w:rsidP="00000000" w:rsidRDefault="00000000" w:rsidRPr="00000000" w14:paraId="0000003D">
      <w:pPr>
        <w:spacing w:after="0" w:lineRule="auto"/>
        <w:ind w:left="79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Asignar y Retornar:</w:t>
      </w:r>
    </w:p>
    <w:p w:rsidR="00000000" w:rsidDel="00000000" w:rsidP="00000000" w:rsidRDefault="00000000" w:rsidRPr="00000000" w14:paraId="0000003E">
      <w:pPr>
        <w:spacing w:after="0" w:lineRule="auto"/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 retorna_datos RETURN var_refcursor;</w:t>
      </w:r>
    </w:p>
    <w:p w:rsidR="00000000" w:rsidDel="00000000" w:rsidP="00000000" w:rsidRDefault="00000000" w:rsidRPr="00000000" w14:paraId="0000003F">
      <w:pPr>
        <w:spacing w:after="0" w:lineRule="auto"/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 ejemplo_package;</w:t>
      </w:r>
    </w:p>
    <w:p w:rsidR="00000000" w:rsidDel="00000000" w:rsidP="00000000" w:rsidRDefault="00000000" w:rsidRPr="00000000" w14:paraId="00000040">
      <w:pPr>
        <w:spacing w:after="0" w:lineRule="auto"/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or replace PACKAGE BODY ejemplo_package IS</w:t>
      </w:r>
    </w:p>
    <w:p w:rsidR="00000000" w:rsidDel="00000000" w:rsidP="00000000" w:rsidRDefault="00000000" w:rsidRPr="00000000" w14:paraId="00000041">
      <w:pPr>
        <w:spacing w:after="0" w:lineRule="auto"/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 retorna_datos RETURN var_refcursor IS</w:t>
      </w:r>
    </w:p>
    <w:p w:rsidR="00000000" w:rsidDel="00000000" w:rsidP="00000000" w:rsidRDefault="00000000" w:rsidRPr="00000000" w14:paraId="00000042">
      <w:pPr>
        <w:spacing w:after="0" w:lineRule="auto"/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var_cursorpackage var_refcursor;</w:t>
      </w:r>
    </w:p>
    <w:p w:rsidR="00000000" w:rsidDel="00000000" w:rsidP="00000000" w:rsidRDefault="00000000" w:rsidRPr="00000000" w14:paraId="00000043">
      <w:pPr>
        <w:spacing w:after="0" w:lineRule="auto"/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4">
      <w:pPr>
        <w:spacing w:after="0" w:lineRule="auto"/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var_cursorpackage FOR</w:t>
      </w:r>
    </w:p>
    <w:p w:rsidR="00000000" w:rsidDel="00000000" w:rsidP="00000000" w:rsidRDefault="00000000" w:rsidRPr="00000000" w14:paraId="00000045">
      <w:pPr>
        <w:spacing w:after="0" w:lineRule="auto"/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STATEMENT;</w:t>
      </w:r>
    </w:p>
    <w:p w:rsidR="00000000" w:rsidDel="00000000" w:rsidP="00000000" w:rsidRDefault="00000000" w:rsidRPr="00000000" w14:paraId="00000046">
      <w:pPr>
        <w:spacing w:after="0" w:lineRule="auto"/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var_cursorpackage;</w:t>
      </w:r>
    </w:p>
    <w:p w:rsidR="00000000" w:rsidDel="00000000" w:rsidP="00000000" w:rsidRDefault="00000000" w:rsidRPr="00000000" w14:paraId="00000047">
      <w:pPr>
        <w:spacing w:after="0" w:lineRule="auto"/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48">
      <w:pPr>
        <w:spacing w:after="0" w:lineRule="auto"/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 ejemplo_package;</w:t>
      </w:r>
    </w:p>
    <w:p w:rsidR="00000000" w:rsidDel="00000000" w:rsidP="00000000" w:rsidRDefault="00000000" w:rsidRPr="00000000" w14:paraId="00000049">
      <w:pPr>
        <w:spacing w:after="0" w:lineRule="auto"/>
        <w:ind w:left="79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3" w:line="259" w:lineRule="auto"/>
        <w:ind w:left="87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PRACTICANDO.  </w:t>
      </w:r>
    </w:p>
    <w:p w:rsidR="00000000" w:rsidDel="00000000" w:rsidP="00000000" w:rsidRDefault="00000000" w:rsidRPr="00000000" w14:paraId="0000004B">
      <w:pPr>
        <w:spacing w:after="3" w:line="259" w:lineRule="auto"/>
        <w:ind w:left="87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6407468" cy="27946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7468" cy="2794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368.0" w:type="dxa"/>
        <w:jc w:val="left"/>
        <w:tblInd w:w="90.0" w:type="dxa"/>
        <w:tblLayout w:type="fixed"/>
        <w:tblLook w:val="0400"/>
      </w:tblPr>
      <w:tblGrid>
        <w:gridCol w:w="10368"/>
        <w:tblGridChange w:id="0">
          <w:tblGrid>
            <w:gridCol w:w="10368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casos de uso Mantener músico está definidos en el autoestudio 4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after="0" w:line="259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Las primeras consultas están definidas en SQLZoo y en el autoestudio 5</w:t>
            </w:r>
          </w:p>
        </w:tc>
      </w:tr>
    </w:tbl>
    <w:p w:rsidR="00000000" w:rsidDel="00000000" w:rsidP="00000000" w:rsidRDefault="00000000" w:rsidRPr="00000000" w14:paraId="0000004F">
      <w:pPr>
        <w:pStyle w:val="Heading1"/>
        <w:spacing w:after="34" w:lineRule="auto"/>
        <w:ind w:left="8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A. Ofreciendo servicios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9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 los paquetes necesarios para ofrecer las funciones básicas y consultas del ciclo actual del sistema (CRUD). PC_*  </w:t>
      </w:r>
    </w:p>
    <w:p w:rsidR="00000000" w:rsidDel="00000000" w:rsidP="00000000" w:rsidRDefault="00000000" w:rsidRPr="00000000" w14:paraId="00000051">
      <w:pPr>
        <w:spacing w:after="20" w:line="259" w:lineRule="auto"/>
        <w:ind w:left="81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Cree una tabla virtual para la consulta XML6</w:t>
      </w:r>
    </w:p>
    <w:p w:rsidR="00000000" w:rsidDel="00000000" w:rsidP="00000000" w:rsidRDefault="00000000" w:rsidRPr="00000000" w14:paraId="00000052">
      <w:pPr>
        <w:spacing w:after="0" w:line="259" w:lineRule="auto"/>
        <w:ind w:left="80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950e"/>
          <w:sz w:val="24"/>
          <w:szCs w:val="24"/>
          <w:rtl w:val="0"/>
        </w:rPr>
        <w:t xml:space="preserve">(CRUDE (la especificación)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HECHO</w:t>
      </w:r>
      <w:r w:rsidDel="00000000" w:rsidR="00000000" w:rsidRPr="00000000">
        <w:rPr>
          <w:rFonts w:ascii="Arial" w:cs="Arial" w:eastAsia="Arial" w:hAnsi="Arial"/>
          <w:color w:val="ff950e"/>
          <w:sz w:val="24"/>
          <w:szCs w:val="24"/>
          <w:rtl w:val="0"/>
        </w:rPr>
        <w:t xml:space="preserve"> , CRUDI (la implementación)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FALTAN CONSULTAS</w:t>
      </w:r>
      <w:r w:rsidDel="00000000" w:rsidR="00000000" w:rsidRPr="00000000">
        <w:rPr>
          <w:rFonts w:ascii="Arial" w:cs="Arial" w:eastAsia="Arial" w:hAnsi="Arial"/>
          <w:color w:val="ff950e"/>
          <w:sz w:val="24"/>
          <w:szCs w:val="24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9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Proponga un caso de prueba exitoso por subprograma.</w:t>
      </w:r>
    </w:p>
    <w:p w:rsidR="00000000" w:rsidDel="00000000" w:rsidP="00000000" w:rsidRDefault="00000000" w:rsidRPr="00000000" w14:paraId="00000054">
      <w:pPr>
        <w:spacing w:after="0" w:line="259" w:lineRule="auto"/>
        <w:ind w:left="80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950e"/>
          <w:sz w:val="24"/>
          <w:szCs w:val="24"/>
          <w:rtl w:val="0"/>
        </w:rPr>
        <w:t xml:space="preserve">(CRUDOK)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HECHO</w:t>
      </w:r>
      <w:r w:rsidDel="00000000" w:rsidR="00000000" w:rsidRPr="00000000">
        <w:rPr>
          <w:rFonts w:ascii="Arial" w:cs="Arial" w:eastAsia="Arial" w:hAnsi="Arial"/>
          <w:color w:val="ff950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9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Proponga tres casos en los que el subprograma no se puede ejecutar.</w:t>
      </w:r>
    </w:p>
    <w:p w:rsidR="00000000" w:rsidDel="00000000" w:rsidP="00000000" w:rsidRDefault="00000000" w:rsidRPr="00000000" w14:paraId="00000056">
      <w:pPr>
        <w:spacing w:after="44" w:line="259" w:lineRule="auto"/>
        <w:ind w:left="80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950e"/>
          <w:sz w:val="24"/>
          <w:szCs w:val="24"/>
          <w:rtl w:val="0"/>
        </w:rPr>
        <w:t xml:space="preserve">(CRUDNoOK)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FALTA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399" w:lineRule="auto"/>
        <w:ind w:left="79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Escriba las instrucciones necesarias para eliminar los paquetes.  </w:t>
      </w:r>
      <w:r w:rsidDel="00000000" w:rsidR="00000000" w:rsidRPr="00000000">
        <w:rPr>
          <w:rFonts w:ascii="Arial" w:cs="Arial" w:eastAsia="Arial" w:hAnsi="Arial"/>
          <w:color w:val="ff950e"/>
          <w:sz w:val="24"/>
          <w:szCs w:val="24"/>
          <w:rtl w:val="0"/>
        </w:rPr>
        <w:t xml:space="preserve">(CRUDX)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HECHO</w:t>
      </w:r>
      <w:r w:rsidDel="00000000" w:rsidR="00000000" w:rsidRPr="00000000">
        <w:rPr>
          <w:rFonts w:ascii="Arial" w:cs="Arial" w:eastAsia="Arial" w:hAnsi="Arial"/>
          <w:color w:val="ff950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87"/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Definiendo permisos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9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Implemente los paquetes correspondientes a los dos usuarios del sistema. PA_*</w:t>
      </w:r>
    </w:p>
    <w:p w:rsidR="00000000" w:rsidDel="00000000" w:rsidP="00000000" w:rsidRDefault="00000000" w:rsidRPr="00000000" w14:paraId="0000005A">
      <w:pPr>
        <w:spacing w:after="12" w:line="259" w:lineRule="auto"/>
        <w:ind w:left="80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(ActoresE, ActoresI)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9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Asigne los permisos definidos en los diagramas</w:t>
      </w:r>
    </w:p>
    <w:p w:rsidR="00000000" w:rsidDel="00000000" w:rsidP="00000000" w:rsidRDefault="00000000" w:rsidRPr="00000000" w14:paraId="0000005C">
      <w:pPr>
        <w:spacing w:after="12" w:line="259" w:lineRule="auto"/>
        <w:ind w:left="80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(Seguridad)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9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Escriba las instrucciones necesarias para quitar los permisos y eliminar los paquetes.</w:t>
      </w:r>
    </w:p>
    <w:p w:rsidR="00000000" w:rsidDel="00000000" w:rsidP="00000000" w:rsidRDefault="00000000" w:rsidRPr="00000000" w14:paraId="0000005E">
      <w:pPr>
        <w:spacing w:after="12" w:line="259" w:lineRule="auto"/>
        <w:ind w:left="80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(SeguridadX)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154" w:lineRule="auto"/>
        <w:ind w:left="79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Proponga una historia de uso que recorra todos los casos de uso del autoestudio.</w:t>
      </w:r>
    </w:p>
    <w:p w:rsidR="00000000" w:rsidDel="00000000" w:rsidP="00000000" w:rsidRDefault="00000000" w:rsidRPr="00000000" w14:paraId="00000060">
      <w:pPr>
        <w:spacing w:after="150" w:line="259" w:lineRule="auto"/>
        <w:ind w:left="9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(Para probar tenemos definidos como usuario el Administrador y como rol musicos (nombre y clave igual))</w:t>
      </w:r>
    </w:p>
    <w:tbl>
      <w:tblPr>
        <w:tblStyle w:val="Table2"/>
        <w:tblW w:w="8820.0" w:type="dxa"/>
        <w:jc w:val="left"/>
        <w:tblInd w:w="90.0" w:type="dxa"/>
        <w:tblLayout w:type="fixed"/>
        <w:tblLook w:val="0400"/>
      </w:tblPr>
      <w:tblGrid>
        <w:gridCol w:w="300"/>
        <w:gridCol w:w="4380"/>
        <w:gridCol w:w="4140"/>
        <w:tblGridChange w:id="0">
          <w:tblGrid>
            <w:gridCol w:w="300"/>
            <w:gridCol w:w="4380"/>
            <w:gridCol w:w="4140"/>
          </w:tblGrid>
        </w:tblGridChange>
      </w:tblGrid>
      <w:tr>
        <w:trPr>
          <w:trHeight w:val="166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Tablas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Primarias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Unicas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157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Foraneas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157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Xtablas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Consultas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PoblarOK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PoblarNoOK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XPoblar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8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00"/>
                <w:sz w:val="24"/>
                <w:szCs w:val="24"/>
                <w:rtl w:val="0"/>
              </w:rPr>
              <w:t xml:space="preserve">Tuplass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57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00"/>
                <w:sz w:val="24"/>
                <w:szCs w:val="24"/>
                <w:rtl w:val="0"/>
              </w:rPr>
              <w:t xml:space="preserve">Acciones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157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00"/>
                <w:sz w:val="24"/>
                <w:szCs w:val="24"/>
                <w:rtl w:val="0"/>
              </w:rPr>
              <w:t xml:space="preserve">Disparadores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00"/>
                <w:sz w:val="24"/>
                <w:szCs w:val="24"/>
                <w:rtl w:val="0"/>
              </w:rPr>
              <w:t xml:space="preserve">XDisparadores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00"/>
                <w:sz w:val="24"/>
                <w:szCs w:val="24"/>
                <w:rtl w:val="0"/>
              </w:rPr>
              <w:t xml:space="preserve">TuplassOKTuplassNoOK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157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00"/>
                <w:sz w:val="24"/>
                <w:szCs w:val="24"/>
                <w:rtl w:val="0"/>
              </w:rPr>
              <w:t xml:space="preserve">AccionesOK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00"/>
                <w:sz w:val="24"/>
                <w:szCs w:val="24"/>
                <w:rtl w:val="0"/>
              </w:rPr>
              <w:t xml:space="preserve">DisparadoresOK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6600"/>
                <w:sz w:val="24"/>
                <w:szCs w:val="24"/>
                <w:rtl w:val="0"/>
              </w:rPr>
              <w:t xml:space="preserve">DisparadoresNoOK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9966cc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9966cc"/>
                <w:sz w:val="24"/>
                <w:szCs w:val="24"/>
                <w:rtl w:val="0"/>
              </w:rPr>
              <w:t xml:space="preserve">Indices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157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9966cc"/>
                <w:sz w:val="24"/>
                <w:szCs w:val="24"/>
                <w:rtl w:val="0"/>
              </w:rPr>
              <w:t xml:space="preserve">Vistas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9966cc"/>
                <w:sz w:val="24"/>
                <w:szCs w:val="24"/>
                <w:rtl w:val="0"/>
              </w:rPr>
              <w:t xml:space="preserve">XIndicesVistas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16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950e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184" w:line="240" w:lineRule="auto"/>
              <w:ind w:left="0" w:right="3225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950e"/>
                <w:sz w:val="24"/>
                <w:szCs w:val="24"/>
                <w:rtl w:val="0"/>
              </w:rPr>
              <w:t xml:space="preserve">CRUDE CRUDI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950e"/>
                <w:sz w:val="24"/>
                <w:szCs w:val="24"/>
                <w:rtl w:val="0"/>
              </w:rPr>
              <w:t xml:space="preserve">XCRUD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59" w:lineRule="auto"/>
              <w:ind w:left="0" w:right="2481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950e"/>
                <w:sz w:val="24"/>
                <w:szCs w:val="24"/>
                <w:rtl w:val="0"/>
              </w:rPr>
              <w:t xml:space="preserve">CRUDOK CRUDNoOK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ActoresE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ActoresI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157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XSeguridad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SeguridadOK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16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16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59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ff"/>
                <w:sz w:val="24"/>
                <w:szCs w:val="24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869" w:top="1152" w:left="1062" w:right="72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97" w:hanging="79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97" w:hanging="79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97" w:hanging="79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97" w:hanging="360"/>
      </w:pPr>
      <w:rPr/>
    </w:lvl>
    <w:lvl w:ilvl="1">
      <w:start w:val="1"/>
      <w:numFmt w:val="lowerLetter"/>
      <w:lvlText w:val="%2."/>
      <w:lvlJc w:val="left"/>
      <w:pPr>
        <w:ind w:left="1517" w:hanging="360"/>
      </w:pPr>
      <w:rPr/>
    </w:lvl>
    <w:lvl w:ilvl="2">
      <w:start w:val="1"/>
      <w:numFmt w:val="lowerRoman"/>
      <w:lvlText w:val="%3."/>
      <w:lvlJc w:val="right"/>
      <w:pPr>
        <w:ind w:left="2237" w:hanging="180"/>
      </w:pPr>
      <w:rPr/>
    </w:lvl>
    <w:lvl w:ilvl="3">
      <w:start w:val="1"/>
      <w:numFmt w:val="decimal"/>
      <w:lvlText w:val="%4."/>
      <w:lvlJc w:val="left"/>
      <w:pPr>
        <w:ind w:left="2957" w:hanging="360"/>
      </w:pPr>
      <w:rPr/>
    </w:lvl>
    <w:lvl w:ilvl="4">
      <w:start w:val="1"/>
      <w:numFmt w:val="lowerLetter"/>
      <w:lvlText w:val="%5."/>
      <w:lvlJc w:val="left"/>
      <w:pPr>
        <w:ind w:left="3677" w:hanging="360"/>
      </w:pPr>
      <w:rPr/>
    </w:lvl>
    <w:lvl w:ilvl="5">
      <w:start w:val="1"/>
      <w:numFmt w:val="lowerRoman"/>
      <w:lvlText w:val="%6."/>
      <w:lvlJc w:val="right"/>
      <w:pPr>
        <w:ind w:left="4397" w:hanging="180"/>
      </w:pPr>
      <w:rPr/>
    </w:lvl>
    <w:lvl w:ilvl="6">
      <w:start w:val="1"/>
      <w:numFmt w:val="decimal"/>
      <w:lvlText w:val="%7."/>
      <w:lvlJc w:val="left"/>
      <w:pPr>
        <w:ind w:left="5117" w:hanging="360"/>
      </w:pPr>
      <w:rPr/>
    </w:lvl>
    <w:lvl w:ilvl="7">
      <w:start w:val="1"/>
      <w:numFmt w:val="lowerLetter"/>
      <w:lvlText w:val="%8."/>
      <w:lvlJc w:val="left"/>
      <w:pPr>
        <w:ind w:left="5837" w:hanging="360"/>
      </w:pPr>
      <w:rPr/>
    </w:lvl>
    <w:lvl w:ilvl="8">
      <w:start w:val="1"/>
      <w:numFmt w:val="lowerRoman"/>
      <w:lvlText w:val="%9."/>
      <w:lvlJc w:val="right"/>
      <w:pPr>
        <w:ind w:left="6557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97" w:hanging="797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9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17" w:hanging="360"/>
      </w:pPr>
      <w:rPr/>
    </w:lvl>
    <w:lvl w:ilvl="2">
      <w:start w:val="1"/>
      <w:numFmt w:val="lowerRoman"/>
      <w:lvlText w:val="%3."/>
      <w:lvlJc w:val="right"/>
      <w:pPr>
        <w:ind w:left="2237" w:hanging="180"/>
      </w:pPr>
      <w:rPr/>
    </w:lvl>
    <w:lvl w:ilvl="3">
      <w:start w:val="1"/>
      <w:numFmt w:val="decimal"/>
      <w:lvlText w:val="%4."/>
      <w:lvlJc w:val="left"/>
      <w:pPr>
        <w:ind w:left="2957" w:hanging="360"/>
      </w:pPr>
      <w:rPr/>
    </w:lvl>
    <w:lvl w:ilvl="4">
      <w:start w:val="1"/>
      <w:numFmt w:val="lowerLetter"/>
      <w:lvlText w:val="%5."/>
      <w:lvlJc w:val="left"/>
      <w:pPr>
        <w:ind w:left="3677" w:hanging="360"/>
      </w:pPr>
      <w:rPr/>
    </w:lvl>
    <w:lvl w:ilvl="5">
      <w:start w:val="1"/>
      <w:numFmt w:val="lowerRoman"/>
      <w:lvlText w:val="%6."/>
      <w:lvlJc w:val="right"/>
      <w:pPr>
        <w:ind w:left="4397" w:hanging="180"/>
      </w:pPr>
      <w:rPr/>
    </w:lvl>
    <w:lvl w:ilvl="6">
      <w:start w:val="1"/>
      <w:numFmt w:val="decimal"/>
      <w:lvlText w:val="%7."/>
      <w:lvlJc w:val="left"/>
      <w:pPr>
        <w:ind w:left="5117" w:hanging="360"/>
      </w:pPr>
      <w:rPr/>
    </w:lvl>
    <w:lvl w:ilvl="7">
      <w:start w:val="1"/>
      <w:numFmt w:val="lowerLetter"/>
      <w:lvlText w:val="%8."/>
      <w:lvlJc w:val="left"/>
      <w:pPr>
        <w:ind w:left="5837" w:hanging="360"/>
      </w:pPr>
      <w:rPr/>
    </w:lvl>
    <w:lvl w:ilvl="8">
      <w:start w:val="1"/>
      <w:numFmt w:val="lowerRoman"/>
      <w:lvlText w:val="%9."/>
      <w:lvlJc w:val="right"/>
      <w:pPr>
        <w:ind w:left="6557" w:hanging="18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720" w:hanging="72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98" w:hanging="1498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18" w:hanging="2218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38" w:hanging="2938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58" w:hanging="3658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78" w:hanging="4378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98" w:hanging="5098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18" w:hanging="5818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38" w:hanging="6538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8">
    <w:lvl w:ilvl="0">
      <w:start w:val="100"/>
      <w:numFmt w:val="upperRoman"/>
      <w:lvlText w:val="%1."/>
      <w:lvlJc w:val="left"/>
      <w:pPr>
        <w:ind w:left="0" w:firstLine="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97" w:hanging="797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CO"/>
      </w:rPr>
    </w:rPrDefault>
    <w:pPrDefault>
      <w:pPr>
        <w:spacing w:after="4" w:line="252.00000000000003" w:lineRule="auto"/>
        <w:ind w:left="462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58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3.0" w:type="dxa"/>
        <w:left w:w="2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