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C08" w14:textId="79ACA783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Многие из вас наверняка замечали, что одни магниты создают в пространстве более сильные поля, чем другие. Например, поле первого магнита, изображённого на рисунке 111, сильнее, чем второго.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Действительно,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одном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гвоздей,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рассыпанных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 столе,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первому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магниту оказалась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достаточной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преодоления силы тяжести гвоздей, а сила притяжения ко второму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нет.</w:t>
      </w:r>
    </w:p>
    <w:p w14:paraId="09C67819" w14:textId="042066CF" w:rsidR="006F4830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величиной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охарактеризовать магнитное поле?</w:t>
      </w:r>
    </w:p>
    <w:p w14:paraId="50F381C0" w14:textId="73C02F8B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векторной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величиной, которая обозначается символом В и называется индукцией маг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0099">
        <w:rPr>
          <w:rFonts w:ascii="Times New Roman" w:hAnsi="Times New Roman" w:cs="Times New Roman"/>
          <w:sz w:val="28"/>
          <w:szCs w:val="28"/>
        </w:rPr>
        <w:t>итного поля (или магнитной индукцией).</w:t>
      </w:r>
    </w:p>
    <w:p w14:paraId="0E689A31" w14:textId="77777777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Поясним, что это за величина.</w:t>
      </w:r>
    </w:p>
    <w:p w14:paraId="4AAF9CC0" w14:textId="0549F68C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Напомним, что магнитное поле может действ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0099">
        <w:rPr>
          <w:rFonts w:ascii="Times New Roman" w:hAnsi="Times New Roman" w:cs="Times New Roman"/>
          <w:sz w:val="28"/>
          <w:szCs w:val="28"/>
        </w:rPr>
        <w:t>ват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A0099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определё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0099">
        <w:rPr>
          <w:rFonts w:ascii="Times New Roman" w:hAnsi="Times New Roman" w:cs="Times New Roman"/>
          <w:sz w:val="28"/>
          <w:szCs w:val="28"/>
        </w:rPr>
        <w:t>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помещённый в него проводник с током.</w:t>
      </w:r>
    </w:p>
    <w:p w14:paraId="60D36E3D" w14:textId="3DBB2487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Поместим прямолинейный участок проводника АВ с 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перпендикулярно его магнитным линиям (рис. 112).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показанном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направлении силы тока I в 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полюсов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проводник сила F, согласно правилу левой руки,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Определить эту силу можно, вычислив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гирьки,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добавлять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правую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чашу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уравновешивания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F.</w:t>
      </w:r>
    </w:p>
    <w:p w14:paraId="06C452E5" w14:textId="5A35D439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силы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самого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более мощный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 большей силой. Кроме того, сила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магнитного поля на проводник пропорциональна длине 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этого проводника и силе тока I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нём.</w:t>
      </w:r>
    </w:p>
    <w:p w14:paraId="446EED2D" w14:textId="129F2669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силы F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длине про- водника l и силе тока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(т.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099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2A0099">
        <w:rPr>
          <w:rFonts w:ascii="Times New Roman" w:hAnsi="Times New Roman" w:cs="Times New Roman"/>
          <w:sz w:val="28"/>
          <w:szCs w:val="28"/>
        </w:rPr>
        <w:t>) есть 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постоянная. Она не зависит ни от длины проводника, ни от силы тока в н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2A0099">
        <w:rPr>
          <w:rFonts w:ascii="Times New Roman" w:hAnsi="Times New Roman" w:cs="Times New Roman"/>
          <w:sz w:val="28"/>
          <w:szCs w:val="28"/>
        </w:rPr>
        <w:t>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099">
        <w:rPr>
          <w:rFonts w:ascii="Times New Roman" w:hAnsi="Times New Roman" w:cs="Times New Roman"/>
          <w:sz w:val="28"/>
          <w:szCs w:val="28"/>
        </w:rPr>
        <w:t>IFl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его количественной характеристикой.</w:t>
      </w:r>
    </w:p>
    <w:p w14:paraId="58AC8881" w14:textId="26A0033D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Эта величина и принимается за модуль вектора магнитной индукции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25F03" w14:textId="6AA6ED6B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Модуль вектора магнитной индукции В равен отношению модуля силы F, с которой магнитное поле действует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расположе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2A0099">
        <w:rPr>
          <w:rFonts w:ascii="Times New Roman" w:hAnsi="Times New Roman" w:cs="Times New Roman"/>
          <w:sz w:val="28"/>
          <w:szCs w:val="28"/>
        </w:rPr>
        <w:t>ый перпендикулярно магнитным линиям проводник с током, к силе тока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 проводнике и его длине l.</w:t>
      </w:r>
    </w:p>
    <w:p w14:paraId="0B9B8204" w14:textId="0E7161CE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этой формуле можно определить индукцию однородного магнитного поля.</w:t>
      </w:r>
    </w:p>
    <w:p w14:paraId="46DF05AB" w14:textId="5DC1F025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В СИ единица магнитной индукции называется тесла (Тл) в честь югославского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электротехника Николы Тесла.</w:t>
      </w:r>
    </w:p>
    <w:p w14:paraId="5E830571" w14:textId="481F91D7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lastRenderedPageBreak/>
        <w:t>Установим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взаимосвязь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единицей 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единицами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величин 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3E941" w14:textId="6018AB67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До сих пор для 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изображения 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линиями,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условно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называли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Более точное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линии 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магнитного поля).</w:t>
      </w:r>
    </w:p>
    <w:p w14:paraId="3908C04B" w14:textId="4FB74A1A" w:rsid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0099">
        <w:rPr>
          <w:rFonts w:ascii="Times New Roman" w:hAnsi="Times New Roman" w:cs="Times New Roman"/>
          <w:sz w:val="28"/>
          <w:szCs w:val="28"/>
        </w:rPr>
        <w:t xml:space="preserve">иями магнитной индукции называются </w:t>
      </w:r>
      <w:r>
        <w:rPr>
          <w:rFonts w:ascii="Times New Roman" w:hAnsi="Times New Roman" w:cs="Times New Roman"/>
          <w:sz w:val="28"/>
          <w:szCs w:val="28"/>
        </w:rPr>
        <w:t>линии</w:t>
      </w:r>
      <w:r w:rsidRPr="002A0099">
        <w:rPr>
          <w:rFonts w:ascii="Times New Roman" w:hAnsi="Times New Roman" w:cs="Times New Roman"/>
          <w:sz w:val="28"/>
          <w:szCs w:val="28"/>
        </w:rPr>
        <w:t>, касательные к которым в каждой точке поля совпадают с направлением вектора маг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0099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0099">
        <w:rPr>
          <w:rFonts w:ascii="Times New Roman" w:hAnsi="Times New Roman" w:cs="Times New Roman"/>
          <w:sz w:val="28"/>
          <w:szCs w:val="28"/>
        </w:rPr>
        <w:t>ой индукции.</w:t>
      </w:r>
    </w:p>
    <w:p w14:paraId="47FE0994" w14:textId="595587F1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113.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расположенный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перпендикулярно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чертежа.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Окружность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протекающим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проводнику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Проведённые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этой окружности касательные в любой точке совпадают с вектором магнитной индукции.</w:t>
      </w:r>
    </w:p>
    <w:p w14:paraId="71F0BFC6" w14:textId="7AEE3A7E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Теперь,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термином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A0099">
        <w:rPr>
          <w:rFonts w:ascii="Times New Roman" w:hAnsi="Times New Roman" w:cs="Times New Roman"/>
          <w:sz w:val="28"/>
          <w:szCs w:val="28"/>
        </w:rPr>
        <w:t>магнитная индукция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A00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назовём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признаки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неоднородного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полей.</w:t>
      </w:r>
    </w:p>
    <w:p w14:paraId="01BEED24" w14:textId="276F1786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однородном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(рис. 114) вектор 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произвольно выбранных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точках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поля одинаков как по модулю, так и по направлению.</w:t>
      </w:r>
    </w:p>
    <w:p w14:paraId="257B9810" w14:textId="17DBDCA7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Сравним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неоднородными полями: полем постоянного полосового магнита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(рис. 115,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протекающего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прямолинейному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участку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проводника (рис. 115, б).</w:t>
      </w:r>
    </w:p>
    <w:p w14:paraId="0B0A62A7" w14:textId="42044FE6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Легко заметить, что в неоднородных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полях,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однородного,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магнитной 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меняется от точки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точке.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Например, в каждом из рассматриваемых неоднородных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переходе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 точку 2 вектор магнитной индукции меняется по модулю, при переходе из точки 1 в точку 3 -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 направлению,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переходе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точку 3 вектор магнитной индукции меняется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 модулю,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 по направлению.</w:t>
      </w:r>
    </w:p>
    <w:p w14:paraId="05B5B7AD" w14:textId="6A9345DE" w:rsidR="002A0099" w:rsidRPr="002A0099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однородным, если во всех его точках магнитная индукция В одинакова. В противном случае поле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неоднородным.</w:t>
      </w:r>
    </w:p>
    <w:p w14:paraId="234F85A6" w14:textId="15C904E5" w:rsidR="002A0099" w:rsidRPr="006F4830" w:rsidRDefault="002A0099" w:rsidP="002A0099">
      <w:pPr>
        <w:jc w:val="both"/>
        <w:rPr>
          <w:rFonts w:ascii="Times New Roman" w:hAnsi="Times New Roman" w:cs="Times New Roman"/>
          <w:sz w:val="28"/>
          <w:szCs w:val="28"/>
        </w:rPr>
      </w:pPr>
      <w:r w:rsidRPr="002A0099">
        <w:rPr>
          <w:rFonts w:ascii="Times New Roman" w:hAnsi="Times New Roman" w:cs="Times New Roman"/>
          <w:sz w:val="28"/>
          <w:szCs w:val="28"/>
        </w:rPr>
        <w:t>Чем больше магнитная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индукция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 xml:space="preserve">в данной точке </w:t>
      </w:r>
      <w:proofErr w:type="gramStart"/>
      <w:r w:rsidRPr="002A0099">
        <w:rPr>
          <w:rFonts w:ascii="Times New Roman" w:hAnsi="Times New Roman" w:cs="Times New Roman"/>
          <w:sz w:val="28"/>
          <w:szCs w:val="28"/>
        </w:rPr>
        <w:t>поля ,</w:t>
      </w:r>
      <w:proofErr w:type="gramEnd"/>
      <w:r w:rsidRPr="002A0099">
        <w:rPr>
          <w:rFonts w:ascii="Times New Roman" w:hAnsi="Times New Roman" w:cs="Times New Roman"/>
          <w:sz w:val="28"/>
          <w:szCs w:val="28"/>
        </w:rPr>
        <w:t xml:space="preserve"> тем с большей силой будет действовать поле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точке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099">
        <w:rPr>
          <w:rFonts w:ascii="Times New Roman" w:hAnsi="Times New Roman" w:cs="Times New Roman"/>
          <w:sz w:val="28"/>
          <w:szCs w:val="28"/>
        </w:rPr>
        <w:t>магнитную стрелку или движущийся электрический заряд.</w:t>
      </w:r>
    </w:p>
    <w:sectPr w:rsidR="002A009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A0099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2022-09-27T17:14:00Z</dcterms:modified>
</cp:coreProperties>
</file>