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Segoe UI" w:hAnsi="Segoe UI"/>
          <w:b/>
          <w:color w:val="1A365D"/>
          <w:sz w:val="36"/>
        </w:rPr>
        <w:t>DOKUZ EYLÜL ÜNİVERSİTESİ MÜHENDİSLİK FAKÜLTESİ</w:t>
        <w:br/>
        <w:t>KİTAP SATIŞ SİSTEMİ YASAL SÖZLEŞMELERİ</w:t>
      </w:r>
    </w:p>
    <w:p>
      <w:pPr>
        <w:pBdr>
          <w:bottom w:val="single" w:sz="6" w:space="1" w:color="A0AEC0"/>
        </w:pBdr>
        <w:spacing w:after="480"/>
      </w:pPr>
    </w:p>
    <w:p>
      <w:pPr>
        <w:pStyle w:val="Heading1"/>
        <w:keepNext/>
        <w:spacing w:before="240" w:after="120"/>
      </w:pPr>
      <w:r>
        <w:rPr>
          <w:rFonts w:ascii="Segoe UI" w:hAnsi="Segoe UI"/>
          <w:b/>
          <w:color w:val="1A365D"/>
          <w:sz w:val="32"/>
        </w:rPr>
        <w:t>BÖLÜM 1: ÖN BİLGİLENDİRME FORMU</w:t>
      </w:r>
    </w:p>
    <w:p>
      <w:pPr>
        <w:spacing w:after="240" w:line="276" w:lineRule="auto"/>
      </w:pPr>
      <w:r>
        <w:rPr>
          <w:rFonts w:ascii="Segoe UI" w:hAnsi="Segoe UI"/>
          <w:b w:val="0"/>
          <w:i/>
          <w:color w:val="2D3748"/>
          <w:sz w:val="21"/>
        </w:rPr>
        <w:t>İşbu Ön Bilgilendirme Formu, Alıcı’nın https://kitapsatis.deu.edu.tr/ internet sitesi üzerinden kitap/yayın satın almadan önce; ürünün temel nitelikleri, fiyatı, ödeme, teslimat, cayma hakkı ve iade koşulları hakkında bilgilendirilmesi amacıyla hazırlanmıştır.</w:t>
      </w:r>
    </w:p>
    <w:p>
      <w:pPr>
        <w:pStyle w:val="Heading2"/>
        <w:keepNext/>
        <w:spacing w:before="240" w:after="120"/>
      </w:pPr>
      <w:r>
        <w:rPr>
          <w:rFonts w:ascii="Segoe UI" w:hAnsi="Segoe UI"/>
          <w:b/>
          <w:color w:val="2B6CB0"/>
          <w:sz w:val="24"/>
        </w:rPr>
        <w:t>1. Satıcı Bilgileri</w:t>
      </w:r>
    </w:p>
    <w:p>
      <w:pPr>
        <w:spacing w:after="240" w:line="276" w:lineRule="auto"/>
      </w:pPr>
      <w:r>
        <w:rPr>
          <w:rFonts w:ascii="Segoe UI" w:hAnsi="Segoe UI"/>
          <w:b w:val="0"/>
          <w:i w:val="0"/>
          <w:color w:val="2D3748"/>
          <w:sz w:val="21"/>
        </w:rPr>
        <w:t>Ünvan: Dokuz Eylül Üniversitesi Mühendislik Fakültesi Dekanlığı</w:t>
        <w:br/>
        <w:t>Adres: Merkez Yerleşkesi, Buca / İzmir</w:t>
        <w:br/>
        <w:t>E-posta: kitapsatis@deu.edu.tr</w:t>
        <w:br/>
        <w:t>Web Sitesi: https://kitapsatis.deu.edu.tr/</w:t>
      </w:r>
    </w:p>
    <w:p>
      <w:pPr>
        <w:pStyle w:val="Heading2"/>
        <w:keepNext/>
        <w:spacing w:before="240" w:after="120"/>
      </w:pPr>
      <w:r>
        <w:rPr>
          <w:rFonts w:ascii="Segoe UI" w:hAnsi="Segoe UI"/>
          <w:b/>
          <w:color w:val="2B6CB0"/>
          <w:sz w:val="24"/>
        </w:rPr>
        <w:t>2. Sözleşme Konusu Ürün / Hizmet Bilgileri</w:t>
      </w:r>
    </w:p>
    <w:p>
      <w:pPr>
        <w:spacing w:after="240" w:line="276" w:lineRule="auto"/>
      </w:pPr>
      <w:r>
        <w:rPr>
          <w:rFonts w:ascii="Segoe UI" w:hAnsi="Segoe UI"/>
          <w:b w:val="0"/>
          <w:i w:val="0"/>
          <w:color w:val="2D3748"/>
          <w:sz w:val="21"/>
        </w:rPr>
        <w:t>Alıcı tarafından satın alınan kitap/yayın ürününün adı, ISBN numarası, adedi, birim fiyatı, KDV dahil toplam tutarı, kargo bedeli ve genel toplamı sipariş tamamlama ekranında ve sipariş onay e-postasında yer almaktadır.</w:t>
        <w:br/>
        <w:t>Güncel fiyatlandırma, KDV oranı ve stok bilgileri Satıcı'nın internet sitesinde ilan edildiği şekilde geçerlidir.</w:t>
      </w:r>
    </w:p>
    <w:p>
      <w:pPr>
        <w:pStyle w:val="Heading2"/>
        <w:keepNext/>
        <w:spacing w:before="240" w:after="120"/>
      </w:pPr>
      <w:r>
        <w:rPr>
          <w:rFonts w:ascii="Segoe UI" w:hAnsi="Segoe UI"/>
          <w:b/>
          <w:color w:val="2B6CB0"/>
          <w:sz w:val="24"/>
        </w:rPr>
        <w:t>3. Ödeme Bilgileri</w:t>
      </w:r>
    </w:p>
    <w:p>
      <w:pPr>
        <w:spacing w:after="240" w:line="276" w:lineRule="auto"/>
      </w:pPr>
      <w:r>
        <w:rPr>
          <w:rFonts w:ascii="Segoe UI" w:hAnsi="Segoe UI"/>
          <w:b w:val="0"/>
          <w:i w:val="0"/>
          <w:color w:val="2D3748"/>
          <w:sz w:val="21"/>
        </w:rPr>
        <w:t>Alıcı, sipariş bedelini kredi kartı veya banka kartı ile sanal POS aracılığıyla ödeyebilir.</w:t>
        <w:br/>
        <w:t>Ön provizyon siparişin verildiği anda alınır; sipariş onayı sonrasında tahsilat gerçekleştirilir.</w:t>
      </w:r>
    </w:p>
    <w:p>
      <w:pPr>
        <w:pStyle w:val="Heading2"/>
        <w:keepNext/>
        <w:spacing w:before="240" w:after="120"/>
      </w:pPr>
      <w:r>
        <w:rPr>
          <w:rFonts w:ascii="Segoe UI" w:hAnsi="Segoe UI"/>
          <w:b/>
          <w:color w:val="2B6CB0"/>
          <w:sz w:val="24"/>
        </w:rPr>
        <w:t>4. Teslimat Bilgileri</w:t>
      </w:r>
    </w:p>
    <w:p>
      <w:pPr>
        <w:spacing w:after="240" w:line="276" w:lineRule="auto"/>
      </w:pPr>
      <w:r>
        <w:rPr>
          <w:rFonts w:ascii="Segoe UI" w:hAnsi="Segoe UI"/>
          <w:b w:val="0"/>
          <w:i w:val="0"/>
          <w:color w:val="2D3748"/>
          <w:sz w:val="21"/>
        </w:rPr>
        <w:t>Teslimat, Alıcı'nın sipariş sırasında bildirdiği adrese anlaşmalı kargo firması aracılığıyla yapılır.</w:t>
        <w:br/>
        <w:t>Satıcı, ödemenin kendisine ulaşmasından itibaren en fazla 30 (otuz) gün içinde teslimatı gerçekleştirmekle yükümlüdür. Yurt içi teslimatlar, kargoya teslim edildiği günden itibaren genellikle 2-5 iş günü içinde tamamlanır; bu süre kargo firmasının hizmet koşullarına göre değişebilir.</w:t>
        <w:br/>
        <w:t>Alıcı, teslimat adresine ilişkin bilgilerin eksiksiz ve doğru olduğunu kabul eder. Hatalı veya eksik adres bilgisi nedeniyle doğabilecek ek kargo masrafları Alıcı'ya aittir.</w:t>
      </w:r>
    </w:p>
    <w:p>
      <w:pPr>
        <w:pStyle w:val="Heading2"/>
        <w:keepNext/>
        <w:spacing w:before="240" w:after="120"/>
      </w:pPr>
      <w:r>
        <w:rPr>
          <w:rFonts w:ascii="Segoe UI" w:hAnsi="Segoe UI"/>
          <w:b/>
          <w:color w:val="2B6CB0"/>
          <w:sz w:val="24"/>
        </w:rPr>
        <w:t>5. Cayma Hakkı</w:t>
      </w:r>
    </w:p>
    <w:p>
      <w:pPr>
        <w:spacing w:after="240" w:line="276" w:lineRule="auto"/>
      </w:pPr>
      <w:r>
        <w:rPr>
          <w:rFonts w:ascii="Segoe UI" w:hAnsi="Segoe UI"/>
          <w:b w:val="0"/>
          <w:i w:val="0"/>
          <w:color w:val="2D3748"/>
          <w:sz w:val="21"/>
        </w:rPr>
        <w:t>Alıcı, sözleşmenin kurulduğu tarihten itibaren 14 (on dört) gün içinde herhangi bir gerekçe göstermeksizin ve cezai şart ödemeksizin cayma hakkını kullanabilir.</w:t>
        <w:br/>
        <w:t>Cayma hakkının kullanılabilmesi için ürünün ambalajı açılmamış, kullanılmamış, deforme edilmemiş ve yeniden satılabilir durumda olması gerekir.</w:t>
        <w:br/>
        <w:t>Cayma hakkını kullanmak isteyen Alıcı, Satıcı'ya kitapsatis@deu.edu.tr adresi üzerinden e-posta yoluyla veya yazılı olarak bildirimde bulunur.</w:t>
        <w:br/>
        <w:t>Alıcı, cayma bildiriminin ardından ürünü 10 (on) gün içinde, kargo masrafları kendisine ait olmak üzere Satıcı'ya iade eder. Satıcı, iade edilen ürünü teslim aldığı tarihten itibaren 14 (on dört) gün içinde ödemeyi Alıcı'ya iade eder.</w:t>
      </w:r>
    </w:p>
    <w:p>
      <w:pPr>
        <w:pStyle w:val="Heading2"/>
        <w:keepNext/>
        <w:spacing w:before="240" w:after="120"/>
      </w:pPr>
      <w:r>
        <w:rPr>
          <w:rFonts w:ascii="Segoe UI" w:hAnsi="Segoe UI"/>
          <w:b/>
          <w:color w:val="2B6CB0"/>
          <w:sz w:val="24"/>
        </w:rPr>
        <w:t>6. Cayma Hakkının Kullanılamayacağı Durumlar</w:t>
      </w:r>
    </w:p>
    <w:p>
      <w:pPr>
        <w:spacing w:after="240" w:line="276" w:lineRule="auto"/>
      </w:pPr>
      <w:r>
        <w:rPr>
          <w:rFonts w:ascii="Segoe UI" w:hAnsi="Segoe UI"/>
          <w:b w:val="0"/>
          <w:i w:val="0"/>
          <w:color w:val="2D3748"/>
          <w:sz w:val="21"/>
        </w:rPr>
        <w:t>Alıcı tarafından ambalajı açılan, okunmaya başlanan veya üzerinde işaretleme/notlama yapılan kitap ve yayınlarda cayma hakkı kullanılamaz.</w:t>
        <w:br/>
        <w:t>Sipariş üzerine özel baskı/cilt yaptırılan veya kişiye özel hazırlanan yayınlarda cayma hakkı kullanılamaz.</w:t>
        <w:br/>
        <w:t>Dijital içerik ve e-kitap ürünlerinde, indirme veya aktivasyon işlemi gerçekleştirilmişse cayma hakkı kullanılamamaktadır.</w:t>
      </w:r>
    </w:p>
    <w:p>
      <w:pPr>
        <w:pStyle w:val="Heading2"/>
        <w:keepNext/>
        <w:spacing w:before="240" w:after="120"/>
      </w:pPr>
      <w:r>
        <w:rPr>
          <w:rFonts w:ascii="Segoe UI" w:hAnsi="Segoe UI"/>
          <w:b/>
          <w:color w:val="2B6CB0"/>
          <w:sz w:val="24"/>
        </w:rPr>
        <w:t>7. Hasarlı, Eksik veya Yanlış Ürün Teslimi</w:t>
      </w:r>
    </w:p>
    <w:p>
      <w:pPr>
        <w:spacing w:after="240" w:line="276" w:lineRule="auto"/>
      </w:pPr>
      <w:r>
        <w:rPr>
          <w:rFonts w:ascii="Segoe UI" w:hAnsi="Segoe UI"/>
          <w:b w:val="0"/>
          <w:i w:val="0"/>
          <w:color w:val="2D3748"/>
          <w:sz w:val="21"/>
        </w:rPr>
        <w:t>Teslimat sırasında hasarlı ya da eksik ürün alınması halinde Alıcı, durumu teslim tarihinden itibaren 3 (üç) iş günü içinde fotoğraf ile belgeleyerek Satıcı'ya e-posta yoluyla bildirmelidir.</w:t>
        <w:br/>
        <w:t>Satıcı, inceleme sonucuna göre ürünü değiştirir veya bedelini iade eder. Yanlış ürün gönderilmesi durumunda iade kargo masrafları Satıcı tarafından karşılanır.</w:t>
      </w:r>
    </w:p>
    <w:p>
      <w:pPr>
        <w:pStyle w:val="Heading2"/>
        <w:keepNext/>
        <w:spacing w:before="240" w:after="120"/>
      </w:pPr>
      <w:r>
        <w:rPr>
          <w:rFonts w:ascii="Segoe UI" w:hAnsi="Segoe UI"/>
          <w:b/>
          <w:color w:val="2B6CB0"/>
          <w:sz w:val="24"/>
        </w:rPr>
        <w:t>8. Kişisel Verilerin Korunması</w:t>
      </w:r>
    </w:p>
    <w:p>
      <w:pPr>
        <w:spacing w:after="240" w:line="276" w:lineRule="auto"/>
      </w:pPr>
      <w:r>
        <w:rPr>
          <w:rFonts w:ascii="Segoe UI" w:hAnsi="Segoe UI"/>
          <w:b w:val="0"/>
          <w:i w:val="0"/>
          <w:color w:val="2D3748"/>
          <w:sz w:val="21"/>
        </w:rPr>
        <w:t>Alıcı'nın kişisel verileri, 6698 sayılı Kişisel Verilerin Korunması Kanunu kapsamında işlenmektedir. Satıcı'nın KVKK Aydınlatma Metni internet sitesinde kamuoyuyla paylaşılmıştır.</w:t>
      </w:r>
    </w:p>
    <w:p>
      <w:pPr>
        <w:pStyle w:val="Heading2"/>
        <w:keepNext/>
        <w:spacing w:before="240" w:after="120"/>
      </w:pPr>
      <w:r>
        <w:rPr>
          <w:rFonts w:ascii="Segoe UI" w:hAnsi="Segoe UI"/>
          <w:b/>
          <w:color w:val="2B6CB0"/>
          <w:sz w:val="24"/>
        </w:rPr>
        <w:t>9. Uyuşmazlıkların Çözümü</w:t>
      </w:r>
    </w:p>
    <w:p>
      <w:pPr>
        <w:spacing w:after="240" w:line="276" w:lineRule="auto"/>
      </w:pPr>
      <w:r>
        <w:rPr>
          <w:rFonts w:ascii="Segoe UI" w:hAnsi="Segoe UI"/>
          <w:b w:val="0"/>
          <w:i w:val="0"/>
          <w:color w:val="2D3748"/>
          <w:sz w:val="21"/>
        </w:rPr>
        <w:t>Bu form ve mesafeli satış sözleşmesinden doğabilecek uyuşmazlıklarda İzmir Mahkemeleri, İcra Daireleri ve Tüketici Hakem Heyetleri yetkilidir.</w:t>
      </w:r>
    </w:p>
    <w:p>
      <w:pPr>
        <w:pStyle w:val="Heading2"/>
        <w:keepNext/>
        <w:spacing w:before="240" w:after="120"/>
      </w:pPr>
      <w:r>
        <w:rPr>
          <w:rFonts w:ascii="Segoe UI" w:hAnsi="Segoe UI"/>
          <w:b/>
          <w:color w:val="2B6CB0"/>
          <w:sz w:val="24"/>
        </w:rPr>
        <w:t>10. Onay</w:t>
      </w:r>
    </w:p>
    <w:p>
      <w:pPr>
        <w:spacing w:after="240" w:line="276" w:lineRule="auto"/>
      </w:pPr>
      <w:r>
        <w:rPr>
          <w:rFonts w:ascii="Segoe UI" w:hAnsi="Segoe UI"/>
          <w:b w:val="0"/>
          <w:i w:val="0"/>
          <w:color w:val="2D3748"/>
          <w:sz w:val="21"/>
        </w:rPr>
        <w:t>Alıcı; ürünün temel nitelikleri, satış fiyatı, ödeme şekli, teslimat koşulları, cayma hakkı ve iade şartları hakkında önceden bilgilendirildiğini, işbu Ön Bilgilendirme Formu'nu okup anladığını ve elektronik ortamda onayladığını kabul, beyan ve taahhüt eder.</w:t>
      </w:r>
    </w:p>
    <w:p>
      <w:r>
        <w:br w:type="page"/>
      </w:r>
    </w:p>
    <w:p>
      <w:pPr>
        <w:pStyle w:val="Heading1"/>
        <w:keepNext/>
        <w:spacing w:before="240" w:after="120"/>
      </w:pPr>
      <w:r>
        <w:rPr>
          <w:rFonts w:ascii="Segoe UI" w:hAnsi="Segoe UI"/>
          <w:b/>
          <w:color w:val="1A365D"/>
          <w:sz w:val="32"/>
        </w:rPr>
        <w:t>BÖLÜM 2: MESAFELİ SATIŞ SÖZLEŞMESİ</w:t>
      </w:r>
    </w:p>
    <w:p>
      <w:pPr>
        <w:pStyle w:val="Heading2"/>
        <w:keepNext/>
        <w:spacing w:before="240" w:after="120"/>
      </w:pPr>
      <w:r>
        <w:rPr>
          <w:rFonts w:ascii="Segoe UI" w:hAnsi="Segoe UI"/>
          <w:b/>
          <w:color w:val="2B6CB0"/>
          <w:sz w:val="24"/>
        </w:rPr>
        <w:t>MADDE 1 – Sözleşmenin Tarafları</w:t>
      </w:r>
    </w:p>
    <w:p>
      <w:pPr>
        <w:spacing w:after="240" w:line="276" w:lineRule="auto"/>
      </w:pPr>
      <w:r>
        <w:rPr>
          <w:rFonts w:ascii="Segoe UI" w:hAnsi="Segoe UI"/>
          <w:b w:val="0"/>
          <w:i w:val="0"/>
          <w:color w:val="2D3748"/>
          <w:sz w:val="21"/>
        </w:rPr>
        <w:t>(1) Bu sözleşme; Dokuz Eylül Üniversitesi Mühendislik Fakültesi, Merkez Yerleşkesi, Buca/İzmir adresinde faaliyet gösteren Dokuz Eylül Üniversitesi Mühendislik Fakültesi Kitap Satış Birimi (bundan sonra “Satıcı” olarak anılacaktır.) ile sipariş formunda iletişim bilgileri yer alan kişi (bundan sonra “Alıcı” olarak anılacaktır.) arasında akdedilmiştir.</w:t>
        <w:br/>
        <w:t>(2) Satıcı ve Alıcı ayrı ayrı anıldığında “Taraf”; birlikte anıldığında “Taraflar” ibaresi kullanılacaktır.</w:t>
      </w:r>
    </w:p>
    <w:p>
      <w:pPr>
        <w:pStyle w:val="Heading2"/>
        <w:keepNext/>
        <w:spacing w:before="240" w:after="120"/>
      </w:pPr>
      <w:r>
        <w:rPr>
          <w:rFonts w:ascii="Segoe UI" w:hAnsi="Segoe UI"/>
          <w:b/>
          <w:color w:val="2B6CB0"/>
          <w:sz w:val="24"/>
        </w:rPr>
        <w:t>MADDE 2 – Sözleşmenin Konusu</w:t>
      </w:r>
    </w:p>
    <w:p>
      <w:pPr>
        <w:spacing w:after="240" w:line="276" w:lineRule="auto"/>
      </w:pPr>
      <w:r>
        <w:rPr>
          <w:rFonts w:ascii="Segoe UI" w:hAnsi="Segoe UI"/>
          <w:b w:val="0"/>
          <w:i w:val="0"/>
          <w:color w:val="2D3748"/>
          <w:sz w:val="21"/>
        </w:rPr>
        <w:t>(1) İşbu sözleşmenin konusu; Alıcı'nın, Satıcı'ya ait https://kitapsatis.deu.edu.tr/ internet adresi üzerinden satın aldığı, nitelikleri ve bedeli aşağıda belirtilen kitap/yayın ürününün satışı ve teslimi ile ilgili olarak 6502 sayılı Tüketicinin Korunması Hakkında Kanun ve Mesafeli Sözleşmeler Yönetmeliği hükümleri çerçevesinde Taraflar'ın hak ve yükümlülüklerinin belirlenmesidir.</w:t>
      </w:r>
    </w:p>
    <w:p>
      <w:pPr>
        <w:pStyle w:val="Heading2"/>
        <w:keepNext/>
        <w:spacing w:before="240" w:after="120"/>
      </w:pPr>
      <w:r>
        <w:rPr>
          <w:rFonts w:ascii="Segoe UI" w:hAnsi="Segoe UI"/>
          <w:b/>
          <w:color w:val="2B6CB0"/>
          <w:sz w:val="24"/>
        </w:rPr>
        <w:t>MADDE 3 – Satıcıya İlişkin Bilgiler</w:t>
      </w:r>
    </w:p>
    <w:p>
      <w:pPr>
        <w:spacing w:after="240" w:line="276" w:lineRule="auto"/>
      </w:pPr>
      <w:r>
        <w:rPr>
          <w:rFonts w:ascii="Segoe UI" w:hAnsi="Segoe UI"/>
          <w:b w:val="0"/>
          <w:i w:val="0"/>
          <w:color w:val="2D3748"/>
          <w:sz w:val="21"/>
        </w:rPr>
        <w:t>Ünvan: Dokuz Eylül Üniversitesi Mühendislik Fakültesi</w:t>
        <w:br/>
        <w:t>Adres: Merkez Yerleşkesi, Buca/İzmir</w:t>
        <w:br/>
        <w:t>E-posta: kitapsatis@deu.edu.tr</w:t>
        <w:br/>
        <w:t>Web sitesi: https://kitapsatis.deu.edu.tr/</w:t>
      </w:r>
    </w:p>
    <w:p>
      <w:pPr>
        <w:pStyle w:val="Heading2"/>
        <w:keepNext/>
        <w:spacing w:before="240" w:after="120"/>
      </w:pPr>
      <w:r>
        <w:rPr>
          <w:rFonts w:ascii="Segoe UI" w:hAnsi="Segoe UI"/>
          <w:b/>
          <w:color w:val="2B6CB0"/>
          <w:sz w:val="24"/>
        </w:rPr>
        <w:t>MADDE 4 – Alıcıya İlişkin Bilgiler</w:t>
      </w:r>
    </w:p>
    <w:p>
      <w:pPr>
        <w:spacing w:after="240" w:line="276" w:lineRule="auto"/>
      </w:pPr>
      <w:r>
        <w:rPr>
          <w:rFonts w:ascii="Segoe UI" w:hAnsi="Segoe UI"/>
          <w:b w:val="0"/>
          <w:i w:val="0"/>
          <w:color w:val="2D3748"/>
          <w:sz w:val="21"/>
        </w:rPr>
        <w:t>(1) Alıcı'ya ilişkin ad-soyad, teslimat adresi, telefon ve e-posta bilgileri; Alıcı tarafından sipariş aşamasında doldurulan üyelik/sipariş formunda beyan edilen bilgilerdir. Alıcı, söz konusu bilgilerin doğru ve eksiksiz olduğunu kabul ve taahhüt eder; hatalı bilgi nedeniyle doğabilecek her türlü sonuçtan bizzat sorumludur.</w:t>
      </w:r>
    </w:p>
    <w:p>
      <w:pPr>
        <w:pStyle w:val="Heading2"/>
        <w:keepNext/>
        <w:spacing w:before="240" w:after="120"/>
      </w:pPr>
      <w:r>
        <w:rPr>
          <w:rFonts w:ascii="Segoe UI" w:hAnsi="Segoe UI"/>
          <w:b/>
          <w:color w:val="2B6CB0"/>
          <w:sz w:val="24"/>
        </w:rPr>
        <w:t>MADDE 5 – Sözleşme Konusu Ürün</w:t>
      </w:r>
    </w:p>
    <w:p>
      <w:pPr>
        <w:spacing w:after="240" w:line="276" w:lineRule="auto"/>
      </w:pPr>
      <w:r>
        <w:rPr>
          <w:rFonts w:ascii="Segoe UI" w:hAnsi="Segoe UI"/>
          <w:b w:val="0"/>
          <w:i w:val="0"/>
          <w:color w:val="2D3748"/>
          <w:sz w:val="21"/>
        </w:rPr>
        <w:t>(1) Sözleşme konusu ürünün/ürünlerin adı, ISBN numarası, adedi, birim fiyatı (KDV dahil), toplam tutarı ve kargo bedeline ilişkin bilgiler; Alıcı'nın sipariş tamamlama ekranında onayladığı sipariş özetinde ve sipariş onay e-postasında yer almaktadır. Söz konusu sipariş özeti bu sözleşmenin ayrılmaz bir parçasını oluşturur.</w:t>
        <w:br/>
        <w:t>(2) KDV oranı, güncel fiyatlandırma ve stok bilgileri Satıcı'nın internet sitesinde ilan edildiği şekilde geçerlidir.</w:t>
      </w:r>
    </w:p>
    <w:p>
      <w:pPr>
        <w:pStyle w:val="Heading2"/>
        <w:keepNext/>
        <w:spacing w:before="240" w:after="120"/>
      </w:pPr>
      <w:r>
        <w:rPr>
          <w:rFonts w:ascii="Segoe UI" w:hAnsi="Segoe UI"/>
          <w:b/>
          <w:color w:val="2B6CB0"/>
          <w:sz w:val="24"/>
        </w:rPr>
        <w:t>MADDE 6 – Ödeme ve Sipariş</w:t>
      </w:r>
    </w:p>
    <w:p>
      <w:pPr>
        <w:spacing w:after="240" w:line="276" w:lineRule="auto"/>
      </w:pPr>
      <w:r>
        <w:rPr>
          <w:rFonts w:ascii="Segoe UI" w:hAnsi="Segoe UI"/>
          <w:b w:val="0"/>
          <w:i w:val="0"/>
          <w:color w:val="2D3748"/>
          <w:sz w:val="21"/>
        </w:rPr>
        <w:t>(1) Alıcı, sipariş bedelini; kredi/banka kartı ile sanal POS aracılığıyla ödeyebilir.</w:t>
        <w:br/>
        <w:t>(2) Ön provizyon siparişin verildiği anda alınır; sipariş onayı sonrasında tahsilat gerçekleştirilir.</w:t>
      </w:r>
    </w:p>
    <w:p>
      <w:pPr>
        <w:pStyle w:val="Heading2"/>
        <w:keepNext/>
        <w:spacing w:before="240" w:after="120"/>
      </w:pPr>
      <w:r>
        <w:rPr>
          <w:rFonts w:ascii="Segoe UI" w:hAnsi="Segoe UI"/>
          <w:b/>
          <w:color w:val="2B6CB0"/>
          <w:sz w:val="24"/>
        </w:rPr>
        <w:t>MADDE 7 – Teslimat</w:t>
      </w:r>
    </w:p>
    <w:p>
      <w:pPr>
        <w:spacing w:after="240" w:line="276" w:lineRule="auto"/>
      </w:pPr>
      <w:r>
        <w:rPr>
          <w:rFonts w:ascii="Segoe UI" w:hAnsi="Segoe UI"/>
          <w:b w:val="0"/>
          <w:i w:val="0"/>
          <w:color w:val="2D3748"/>
          <w:sz w:val="21"/>
        </w:rPr>
        <w:t>(1) Teslimat, Alıcı'nın sipariş sırasında bildirdiği adrese anlaşmalı kargo firması aracılığıyla yapılır. Satıcı, ödemenin kendisine ulaşmasından itibaren en fazla 30 (otuz) gün içinde teslimatı gerçekleştirmekle yükümlüdür.</w:t>
        <w:br/>
        <w:t>(2) Yurt içi teslimatlar kargoya teslim edildiği günden itibaren genellikle 2–5 iş günü içinde tamamlanır; bu süre kargo firmasının hizmet koşullarına göre değişebilir.</w:t>
        <w:br/>
        <w:t>(3) Alıcı, teslimat adresine ilişkin bilgilerin eksiksiz ve doğru olduğunu taahhüt eder. Hatalı adres bilgisi nedeniyle doğan ek kargo masrafları Alıcı'ya aittir.</w:t>
        <w:br/>
        <w:t>(4) Kargo firmasından kaynaklanan gecikmeler Satıcı'nın sorumluluğunda değildir; Satıcı bu durumlarda Alıcı'yı derhal bilgilendirmekle yükümlüdür.</w:t>
      </w:r>
    </w:p>
    <w:p>
      <w:pPr>
        <w:pStyle w:val="Heading2"/>
        <w:keepNext/>
        <w:spacing w:before="240" w:after="120"/>
      </w:pPr>
      <w:r>
        <w:rPr>
          <w:rFonts w:ascii="Segoe UI" w:hAnsi="Segoe UI"/>
          <w:b/>
          <w:color w:val="2B6CB0"/>
          <w:sz w:val="24"/>
        </w:rPr>
        <w:t>MADDE 8 – Cayma Hakkı</w:t>
      </w:r>
    </w:p>
    <w:p>
      <w:pPr>
        <w:spacing w:after="240" w:line="276" w:lineRule="auto"/>
      </w:pPr>
      <w:r>
        <w:rPr>
          <w:rFonts w:ascii="Segoe UI" w:hAnsi="Segoe UI"/>
          <w:b w:val="0"/>
          <w:i w:val="0"/>
          <w:color w:val="2D3748"/>
          <w:sz w:val="21"/>
        </w:rPr>
        <w:t>(1) Alıcı, sözleşmenin kurulduğu tarihten itibaren 14 (on dört) gün içinde herhangi bir gerekçe göstermeksizin ve cezai şart ödemeksizin cayma hakkını kullanabilir.</w:t>
        <w:br/>
        <w:t>(2) Cayma hakkının kullanılabilmesi için ürünün aynı durum ve koşullarda (ambalajı açılmamış, kullanılmamış, deforme edilmemiş biçimde) iade edilmesi şarttır.</w:t>
        <w:br/>
        <w:t>(3) Aşağıdaki durumlarda cayma hakkı kullanılamaz:</w:t>
        <w:br/>
        <w:t>a) Alıcı tarafından ambalajı açılan, okunmaya başlanan veya üzerinde işaretleme/notlama yapılan kitap ve yayınlar.</w:t>
        <w:br/>
        <w:t>b) Sipariş üzerine özel baskı/cilt yaptırılan veya kişiye özel hazırlanan yayınlar.</w:t>
        <w:br/>
        <w:t>c) Dijital içerik ve e-kitap ürünler (indirme/aktivasyon işlemi gerçekleştirilmişse).</w:t>
        <w:br/>
        <w:t>(4) Cayma hakkını kullanmak isteyen Alıcı, Satıcı'ya e-posta veya yazılı bildirimde bulunur. Bildirim tarihinden itibaren 10 (on) gün içinde ürünü, kargo masrafları kendisine ait olmak üzere Satıcı'ya iade eder. Satıcı, iade edilen ürünü teslim aldığı tarihten itibaren 14 (on dört) gün içinde ödemeyi Alıcı'ya iade eder.</w:t>
      </w:r>
    </w:p>
    <w:p>
      <w:pPr>
        <w:pStyle w:val="Heading2"/>
        <w:keepNext/>
        <w:spacing w:before="240" w:after="120"/>
      </w:pPr>
      <w:r>
        <w:rPr>
          <w:rFonts w:ascii="Segoe UI" w:hAnsi="Segoe UI"/>
          <w:b/>
          <w:color w:val="2B6CB0"/>
          <w:sz w:val="24"/>
        </w:rPr>
        <w:t>MADDE 9 – Hasarlı, Eksik veya Yanlış Ürün</w:t>
      </w:r>
    </w:p>
    <w:p>
      <w:pPr>
        <w:spacing w:after="240" w:line="276" w:lineRule="auto"/>
      </w:pPr>
      <w:r>
        <w:rPr>
          <w:rFonts w:ascii="Segoe UI" w:hAnsi="Segoe UI"/>
          <w:b w:val="0"/>
          <w:i w:val="0"/>
          <w:color w:val="2D3748"/>
          <w:sz w:val="21"/>
        </w:rPr>
        <w:t>(1) Teslimat sırasında hasarlı ya da eksik ürün alınması halinde Alıcı, durumu teslim tarihinden itibaren 3 (üç) iş günü içinde fotoğraf ile belgeleyerek Satıcı'ya e-posta yoluyla bildirmelidir. Satıcı, inceleme sonucuna göre ürünü değiştirir veya bedelini iade eder.</w:t>
        <w:br/>
        <w:t>(2) Yanlış ürün gönderilmesi durumunda iade kargo masrafları Satıcı tarafından karşılanır.</w:t>
      </w:r>
    </w:p>
    <w:p>
      <w:pPr>
        <w:pStyle w:val="Heading2"/>
        <w:keepNext/>
        <w:spacing w:before="240" w:after="120"/>
      </w:pPr>
      <w:r>
        <w:rPr>
          <w:rFonts w:ascii="Segoe UI" w:hAnsi="Segoe UI"/>
          <w:b/>
          <w:color w:val="2B6CB0"/>
          <w:sz w:val="24"/>
        </w:rPr>
        <w:t>MADDE 10 – Genel Hükümler</w:t>
      </w:r>
    </w:p>
    <w:p>
      <w:pPr>
        <w:spacing w:after="240" w:line="276" w:lineRule="auto"/>
      </w:pPr>
      <w:r>
        <w:rPr>
          <w:rFonts w:ascii="Segoe UI" w:hAnsi="Segoe UI"/>
          <w:b w:val="0"/>
          <w:i w:val="0"/>
          <w:color w:val="2D3748"/>
          <w:sz w:val="21"/>
        </w:rPr>
        <w:t>(1) Alıcı, sipariş aşamasında ürüne ait temel nitelikler, fiyat ve teslimat koşullarına ilişkin ön bilgileri okuduğunu ve onayladığını kabul, beyan ve taahhüt eder.</w:t>
        <w:br/>
        <w:t>(2) Satıcı, stok tükenmesi veya temin edilemeyen ürün söz konusu olduğunda Alıcı'yı derhal bilgilendirerek tahsil edilen bedeli en geç 14 (on dört) gün içinde iade eder.</w:t>
        <w:br/>
        <w:t>(3) Alıcı, işbu sözleşmeden doğan haklarını ve yükümlülüklerini Satıcı'nın yazılı onayı olmaksızın üçüncü kişilere devredemez ve temlik edemez.</w:t>
      </w:r>
    </w:p>
    <w:p>
      <w:pPr>
        <w:pStyle w:val="Heading2"/>
        <w:keepNext/>
        <w:spacing w:before="240" w:after="120"/>
      </w:pPr>
      <w:r>
        <w:rPr>
          <w:rFonts w:ascii="Segoe UI" w:hAnsi="Segoe UI"/>
          <w:b/>
          <w:color w:val="2B6CB0"/>
          <w:sz w:val="24"/>
        </w:rPr>
        <w:t>MADDE 11 – Gizlilik ve Kişisel Veriler</w:t>
      </w:r>
    </w:p>
    <w:p>
      <w:pPr>
        <w:spacing w:after="240" w:line="276" w:lineRule="auto"/>
      </w:pPr>
      <w:r>
        <w:rPr>
          <w:rFonts w:ascii="Segoe UI" w:hAnsi="Segoe UI"/>
          <w:b w:val="0"/>
          <w:i w:val="0"/>
          <w:color w:val="2D3748"/>
          <w:sz w:val="21"/>
        </w:rPr>
        <w:t>(1) Tarafların her biri, diğer taraftan edindiği kişisel ve ticari bilgileri yalnızca bu sözleşmenin amacı doğrultusunda kullanacak; üçüncü kişilere açıklamayacak ve gizli tutacaktır. Bu yükümlülük sözleşmenin sona ermesinden sonra da geçerliliğini korur.</w:t>
        <w:br/>
        <w:t>(2) Alıcı'nın kişisel verileri, 6698 sayılı Kişisel Verilerin Korunması Kanunu (KVKK) kapsamında işlenmekte olup Satıcı'nın KVKK Aydınlatma Metni internet sitesinde kamuoyuyla paylaşılmıştır.</w:t>
      </w:r>
    </w:p>
    <w:p>
      <w:pPr>
        <w:pStyle w:val="Heading2"/>
        <w:keepNext/>
        <w:spacing w:before="240" w:after="120"/>
      </w:pPr>
      <w:r>
        <w:rPr>
          <w:rFonts w:ascii="Segoe UI" w:hAnsi="Segoe UI"/>
          <w:b/>
          <w:color w:val="2B6CB0"/>
          <w:sz w:val="24"/>
        </w:rPr>
        <w:t>MADDE 12 – Mücbir Sebepler</w:t>
      </w:r>
    </w:p>
    <w:p>
      <w:pPr>
        <w:spacing w:after="240" w:line="276" w:lineRule="auto"/>
      </w:pPr>
      <w:r>
        <w:rPr>
          <w:rFonts w:ascii="Segoe UI" w:hAnsi="Segoe UI"/>
          <w:b w:val="0"/>
          <w:i w:val="0"/>
          <w:color w:val="2D3748"/>
          <w:sz w:val="21"/>
        </w:rPr>
        <w:t>(1) Doğal afet, savaş, terör, salgın hastalık, hükümet kısıtlamaları, yangın, sel veya benzeri tarafların kontrolü dışındaki olaylar nedeniyle yükümlülüklerin yerine getirilememesi halinde taraflar birbirine karşı sorumlu tutulamaz. Mücbir sebebin ortaya çıkması halinde etkilenen taraf, diğer tarafı 3 (üzen) gün içinde yazılı olarak bilgilendirir.</w:t>
      </w:r>
    </w:p>
    <w:p>
      <w:pPr>
        <w:pStyle w:val="Heading2"/>
        <w:keepNext/>
        <w:spacing w:before="240" w:after="120"/>
      </w:pPr>
      <w:r>
        <w:rPr>
          <w:rFonts w:ascii="Segoe UI" w:hAnsi="Segoe UI"/>
          <w:b/>
          <w:color w:val="2B6CB0"/>
          <w:sz w:val="24"/>
        </w:rPr>
        <w:t>MADDE 13 – Feragat ve Kısmi Geçersizlik</w:t>
      </w:r>
    </w:p>
    <w:p>
      <w:pPr>
        <w:spacing w:after="240" w:line="276" w:lineRule="auto"/>
      </w:pPr>
      <w:r>
        <w:rPr>
          <w:rFonts w:ascii="Segoe UI" w:hAnsi="Segoe UI"/>
          <w:b w:val="0"/>
          <w:i w:val="0"/>
          <w:color w:val="2D3748"/>
          <w:sz w:val="21"/>
        </w:rPr>
        <w:t>(1) Herhangi bir tarafın sözleşme hükümlerinden birini uygulamaması, söz konusu haktan feragat olarak yorumlanamaz.</w:t>
        <w:br/>
        <w:t>(2) Bu sözleşmenin herhangi bir hükmünün geçersiz ya da uygulanamaz olması, diğer hükümlerin geçerliliğini etkilemez.</w:t>
      </w:r>
    </w:p>
    <w:p>
      <w:pPr>
        <w:pStyle w:val="Heading2"/>
        <w:keepNext/>
        <w:spacing w:before="240" w:after="120"/>
      </w:pPr>
      <w:r>
        <w:rPr>
          <w:rFonts w:ascii="Segoe UI" w:hAnsi="Segoe UI"/>
          <w:b/>
          <w:color w:val="2B6CB0"/>
          <w:sz w:val="24"/>
        </w:rPr>
        <w:t>MADDE 14 – Yetkili Yargı Yeri</w:t>
      </w:r>
    </w:p>
    <w:p>
      <w:pPr>
        <w:spacing w:after="240" w:line="276" w:lineRule="auto"/>
      </w:pPr>
      <w:r>
        <w:rPr>
          <w:rFonts w:ascii="Segoe UI" w:hAnsi="Segoe UI"/>
          <w:b w:val="0"/>
          <w:i w:val="0"/>
          <w:color w:val="2D3748"/>
          <w:sz w:val="21"/>
        </w:rPr>
        <w:t>(1) Taraflar arasında işbu sözleşmeden doğabilecek ihtilafların çözümünde İzmir Mahkemeleri, İcra Daireleri ve Tüketici Hakem Heyetleri yetkilidir.</w:t>
      </w:r>
    </w:p>
    <w:p>
      <w:pPr>
        <w:pStyle w:val="Heading2"/>
        <w:keepNext/>
        <w:spacing w:before="240" w:after="120"/>
      </w:pPr>
      <w:r>
        <w:rPr>
          <w:rFonts w:ascii="Segoe UI" w:hAnsi="Segoe UI"/>
          <w:b/>
          <w:color w:val="2B6CB0"/>
          <w:sz w:val="24"/>
        </w:rPr>
        <w:t>MADDE 15 – Sözleşmenin Yürürlüğü</w:t>
      </w:r>
    </w:p>
    <w:p>
      <w:pPr>
        <w:spacing w:after="240" w:line="276" w:lineRule="auto"/>
      </w:pPr>
      <w:r>
        <w:rPr>
          <w:rFonts w:ascii="Segoe UI" w:hAnsi="Segoe UI"/>
          <w:b w:val="0"/>
          <w:i w:val="0"/>
          <w:color w:val="2D3748"/>
          <w:sz w:val="21"/>
        </w:rPr>
        <w:t>(1) İşbu sözleşme 15 (on beş) madde ve gerekli eklerinden ibaret olup Alıcı'nın internet sitesi üzerinden siparişini onaylamasından itibaren yürürlüğe girer ve taraflar için bağlayıcı hale gelir.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