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Cyber Threat Intelligence Sharing</w:t>
      </w:r>
    </w:p>
    <w:p>
      <w:pPr>
        <w:spacing w:after="400" w:before="0"/>
        <w:jc w:val="center"/>
      </w:pPr>
      <w:r>
        <w:rPr>
          <w:rFonts w:ascii="Arial" w:cs="Arial" w:eastAsia="Arial" w:hAnsi="Arial"/>
          <w:i/>
          <w:iCs/>
          <w:color w:val="555555"/>
          <w:sz w:val="24"/>
          <w:szCs w:val="24"/>
        </w:rPr>
        <w:t xml:space="preserve">Einführung und akademischer Überblick – Vorlagentext</w:t>
      </w:r>
    </w:p>
    <w:p>
      <w:pPr>
        <w:pBdr>
          <w:bottom w:val="single" w:color="1F3864" w:sz="6" w:space="1"/>
        </w:pBdr>
        <w:spacing w:after="300" w:before="0"/>
      </w:pPr>
    </w:p>
    <w:p>
      <w:pPr>
        <w:pStyle w:val="Heading1"/>
      </w:pPr>
      <w:r>
        <w:rPr>
          <w:rFonts w:ascii="Arial" w:cs="Arial" w:eastAsia="Arial" w:hAnsi="Arial"/>
          <w:b/>
          <w:bCs/>
          <w:sz w:val="32"/>
          <w:szCs w:val="32"/>
        </w:rPr>
        <w:t xml:space="preserve">1  Grundlagen: Cyber Threat Intelligence</w:t>
      </w:r>
    </w:p>
    <w:p>
      <w:pPr>
        <w:spacing w:after="180" w:before="0"/>
        <w:jc w:val="both"/>
      </w:pPr>
      <w:r>
        <w:rPr>
          <w:rFonts w:ascii="Arial" w:cs="Arial" w:eastAsia="Arial" w:hAnsi="Arial"/>
          <w:sz w:val="24"/>
          <w:szCs w:val="24"/>
        </w:rPr>
        <w:t xml:space="preserve">Die zunehmende Professionalisierung und Vernetzung von Angreifern im Cyberraum stellt Organisationen jeder Größenordnung vor erhebliche Herausforderungen. Einzelne Unternehmen und Behörden verfügen typischerweise nur über eine fragmentierte Sicht auf die Bedrohungslandschaft, da ihnen der Zugang zu jenen Ereignisdaten fehlt, die außerhalb ihrer eigenen Netzperimeter anfallen. Cyber Threat Intelligence (CTI) adressiert dieses Problem, indem aus rohen Ereignis- und Angriffsdaten kontextualisiertes, handlungsrelevantes Wissen über Bedrohungen erzeugt wird.</w:t>
      </w:r>
    </w:p>
    <w:p>
      <w:pPr>
        <w:spacing w:after="180" w:before="0"/>
        <w:jc w:val="both"/>
      </w:pPr>
      <w:r>
        <w:rPr>
          <w:rFonts w:ascii="Arial" w:cs="Arial" w:eastAsia="Arial" w:hAnsi="Arial"/>
          <w:b w:val="false"/>
          <w:bCs w:val="false"/>
          <w:i w:val="false"/>
          <w:iCs w:val="false"/>
          <w:sz w:val="24"/>
          <w:szCs w:val="24"/>
        </w:rPr>
        <w:t xml:space="preserve">CTI wird in der Literatur üblicherweise nach dem </w:t>
      </w:r>
      <w:r>
        <w:rPr>
          <w:rFonts w:ascii="Arial" w:cs="Arial" w:eastAsia="Arial" w:hAnsi="Arial"/>
          <w:b w:val="false"/>
          <w:bCs w:val="false"/>
          <w:i/>
          <w:iCs/>
          <w:sz w:val="24"/>
          <w:szCs w:val="24"/>
        </w:rPr>
        <w:t xml:space="preserve">Intelligence-Reifegrad</w:t>
      </w:r>
      <w:r>
        <w:rPr>
          <w:rFonts w:ascii="Arial" w:cs="Arial" w:eastAsia="Arial" w:hAnsi="Arial"/>
          <w:b w:val="false"/>
          <w:bCs w:val="false"/>
          <w:i w:val="false"/>
          <w:iCs w:val="false"/>
          <w:sz w:val="24"/>
          <w:szCs w:val="24"/>
        </w:rPr>
        <w:t xml:space="preserve"> in drei Ebenen unterteilt (vgl. Strom et al., 2018; Johnson et al., 2016):</w:t>
      </w:r>
    </w:p>
    <w:p>
      <w:pPr>
        <w:pStyle w:val="ListParagraph"/>
        <w:numPr>
          <w:ilvl w:val="0"/>
          <w:numId w:val="2"/>
        </w:numPr>
        <w:spacing w:after="100" w:before="0"/>
        <w:jc w:val="both"/>
      </w:pPr>
      <w:r>
        <w:rPr>
          <w:rFonts w:ascii="Arial" w:cs="Arial" w:eastAsia="Arial" w:hAnsi="Arial"/>
          <w:b/>
          <w:bCs/>
          <w:i w:val="false"/>
          <w:iCs w:val="false"/>
          <w:sz w:val="24"/>
          <w:szCs w:val="24"/>
        </w:rPr>
        <w:t xml:space="preserve">Taktische CTI</w:t>
      </w:r>
      <w:r>
        <w:rPr>
          <w:rFonts w:ascii="Arial" w:cs="Arial" w:eastAsia="Arial" w:hAnsi="Arial"/>
          <w:b w:val="false"/>
          <w:bCs w:val="false"/>
          <w:i w:val="false"/>
          <w:iCs w:val="false"/>
          <w:sz w:val="24"/>
          <w:szCs w:val="24"/>
        </w:rPr>
        <w:t xml:space="preserve"> umfasst unmittelbar verwendbare Indikatoren ("Indicators of Compromise", IoC) wie IP-Adressen, Domänen, Datei-Hashes oder URL-Muster, die direkt in Abwehrsystemen wie Firewalls oder SIEM-Plattformen eingesetzt werden können.</w:t>
      </w:r>
    </w:p>
    <w:p>
      <w:pPr>
        <w:pStyle w:val="ListParagraph"/>
        <w:numPr>
          <w:ilvl w:val="0"/>
          <w:numId w:val="2"/>
        </w:numPr>
        <w:spacing w:after="100" w:before="0"/>
        <w:jc w:val="both"/>
      </w:pPr>
      <w:r>
        <w:rPr>
          <w:rFonts w:ascii="Arial" w:cs="Arial" w:eastAsia="Arial" w:hAnsi="Arial"/>
          <w:b/>
          <w:bCs/>
          <w:i w:val="false"/>
          <w:iCs w:val="false"/>
          <w:sz w:val="24"/>
          <w:szCs w:val="24"/>
        </w:rPr>
        <w:t xml:space="preserve">Operative CTI</w:t>
      </w:r>
      <w:r>
        <w:rPr>
          <w:rFonts w:ascii="Arial" w:cs="Arial" w:eastAsia="Arial" w:hAnsi="Arial"/>
          <w:b w:val="false"/>
          <w:bCs w:val="false"/>
          <w:i w:val="false"/>
          <w:iCs w:val="false"/>
          <w:sz w:val="24"/>
          <w:szCs w:val="24"/>
        </w:rPr>
        <w:t xml:space="preserve"> beschreibt Angriffskampagnen und -methoden auf Ebene von Taktiken, Techniken und Prozeduren (TTPs) – beispielsweise codiert im MITRE ATT&amp;CK-Framework – und gibt Auskunft über das Vorgehen konkreter Bedrohungsakteure.</w:t>
      </w:r>
    </w:p>
    <w:p>
      <w:pPr>
        <w:pStyle w:val="ListParagraph"/>
        <w:numPr>
          <w:ilvl w:val="0"/>
          <w:numId w:val="2"/>
        </w:numPr>
        <w:spacing w:after="100" w:before="0"/>
        <w:jc w:val="both"/>
      </w:pPr>
      <w:r>
        <w:rPr>
          <w:rFonts w:ascii="Arial" w:cs="Arial" w:eastAsia="Arial" w:hAnsi="Arial"/>
          <w:b/>
          <w:bCs/>
          <w:i w:val="false"/>
          <w:iCs w:val="false"/>
          <w:sz w:val="24"/>
          <w:szCs w:val="24"/>
        </w:rPr>
        <w:t xml:space="preserve">Strategische CTI</w:t>
      </w:r>
      <w:r>
        <w:rPr>
          <w:rFonts w:ascii="Arial" w:cs="Arial" w:eastAsia="Arial" w:hAnsi="Arial"/>
          <w:b w:val="false"/>
          <w:bCs w:val="false"/>
          <w:i w:val="false"/>
          <w:iCs w:val="false"/>
          <w:sz w:val="24"/>
          <w:szCs w:val="24"/>
        </w:rPr>
        <w:t xml:space="preserve"> liefert hochrangige Lageüberblicke über Bedrohungsakteure, geopolitische Motivlagen und Branchentrends, die primär für Management-Entscheidungen relevant sind.</w:t>
      </w:r>
    </w:p>
    <w:p>
      <w:pPr>
        <w:spacing w:after="180" w:before="0"/>
        <w:jc w:val="both"/>
      </w:pPr>
      <w:r>
        <w:rPr>
          <w:rFonts w:ascii="Arial" w:cs="Arial" w:eastAsia="Arial" w:hAnsi="Arial"/>
          <w:sz w:val="24"/>
          <w:szCs w:val="24"/>
        </w:rPr>
        <w:t xml:space="preserve">Der Übergang von rohen Daten zu kontextualisiertem Intelligence-Wissen wird häufig durch den Intelligence-Zyklus beschrieben, der die Phasen Planung, Erfassung, Verarbeitung, Analyse und Dissemination umfasst (Schlette et al., 2021). Eine konsequente Anwendung dieses Zyklus ist Voraussetzung dafür, dass CTI-Daten von empfangenden Organisationen tatsächlich operationalisiert werden können.</w:t>
      </w:r>
    </w:p>
    <w:p>
      <w:pPr>
        <w:pStyle w:val="Heading1"/>
      </w:pPr>
      <w:r>
        <w:rPr>
          <w:rFonts w:ascii="Arial" w:cs="Arial" w:eastAsia="Arial" w:hAnsi="Arial"/>
          <w:b/>
          <w:bCs/>
          <w:sz w:val="32"/>
          <w:szCs w:val="32"/>
        </w:rPr>
        <w:t xml:space="preserve">2  CTI-Sharing: Konzept und Motivation</w:t>
      </w:r>
    </w:p>
    <w:p>
      <w:pPr>
        <w:spacing w:after="180" w:before="0"/>
        <w:jc w:val="both"/>
      </w:pPr>
      <w:r>
        <w:rPr>
          <w:rFonts w:ascii="Arial" w:cs="Arial" w:eastAsia="Arial" w:hAnsi="Arial"/>
          <w:sz w:val="24"/>
          <w:szCs w:val="24"/>
        </w:rPr>
        <w:t xml:space="preserve">Unter CTI-Sharing versteht man den strukturierten Austausch von Bedrohungsinformationen zwischen zwei oder mehr Parteien mit dem Ziel, die kollektive Cyber-Resilienz zu stärken. Das grundlegende Prinzip folgt dem Gedanken der kollektiven Verteidigung (collective defense): Wissen über Angriffsmuster, das eine Organisation gewonnen hat, kann anderen Organisationen helfen, sich gegen dieselbe oder ähnliche Bedrohungen zu schützen, bevor ein Angriff stattfindet (Sauerwein et al., 2017).</w:t>
      </w:r>
    </w:p>
    <w:p>
      <w:pPr>
        <w:spacing w:after="180" w:before="0"/>
        <w:jc w:val="both"/>
      </w:pPr>
      <w:r>
        <w:rPr>
          <w:rFonts w:ascii="Arial" w:cs="Arial" w:eastAsia="Arial" w:hAnsi="Arial"/>
          <w:sz w:val="24"/>
          <w:szCs w:val="24"/>
        </w:rPr>
        <w:t xml:space="preserve">Die Motivation zum Teilen von CTI ist vielschichtig. Auf individueller Ebene profitieren Organisationen vom Zugang zu einem größeren Informationspool, den keine Einzelorganisation aus eigener Kraft aufbauen könnte. Auf systemischer Ebene erhöht der Austausch die Reaktionsgeschwindigkeit des gesamten Ökosystems gegenüber bekannten Bedrohungen und verschlechtert die Angreiferökonomie, da Angriffswerkzeuge und -infrastruktur schneller entwertet werden (Tounsi &amp; Rais, 2018; Wagner et al., 2019).</w:t>
      </w:r>
    </w:p>
    <w:p>
      <w:pPr>
        <w:spacing w:after="180" w:before="0"/>
        <w:jc w:val="both"/>
      </w:pPr>
      <w:r>
        <w:rPr>
          <w:rFonts w:ascii="Arial" w:cs="Arial" w:eastAsia="Arial" w:hAnsi="Arial"/>
          <w:sz w:val="24"/>
          <w:szCs w:val="24"/>
        </w:rPr>
        <w:t xml:space="preserve">Demgegenüber stehen erhebliche Hemmnisse: Organisationen fürchten Reputationsschäden durch die Offenlegung erfolgreicher Angriffe, rechtliche Unsicherheiten beim Teilen von Daten (insbesondere personenbezogener oder geschäftskritischer Informationen), Qualitätsprobleme der geteilten Daten sowie mangelndes gegenseitiges Vertrauen zwischen potenziellen Sharing-Partnern. Diese Spannungsfelder sind Gegenstand aktiver Forschung und praktischer Standardisierungsbemühungen.</w:t>
      </w:r>
    </w:p>
    <w:p>
      <w:pPr>
        <w:pStyle w:val="Heading1"/>
      </w:pPr>
      <w:r>
        <w:rPr>
          <w:rFonts w:ascii="Arial" w:cs="Arial" w:eastAsia="Arial" w:hAnsi="Arial"/>
          <w:b/>
          <w:bCs/>
          <w:sz w:val="32"/>
          <w:szCs w:val="32"/>
        </w:rPr>
        <w:t xml:space="preserve">3  Formate, Standards und Plattformen</w:t>
      </w:r>
    </w:p>
    <w:p>
      <w:pPr>
        <w:spacing w:after="180" w:before="0"/>
        <w:jc w:val="both"/>
      </w:pPr>
      <w:r>
        <w:rPr>
          <w:rFonts w:ascii="Arial" w:cs="Arial" w:eastAsia="Arial" w:hAnsi="Arial"/>
          <w:sz w:val="24"/>
          <w:szCs w:val="24"/>
        </w:rPr>
        <w:t xml:space="preserve">Ein funktionierendes CTI-Sharing erfordert gemeinsame Datenformate, die maschinelle Verarbeitbarkeit und semantische Interoperabilität sicherstellen. Drei Standards haben sich in Industrie und Forschung etabliert:</w:t>
      </w:r>
    </w:p>
    <w:p>
      <w:pPr>
        <w:pStyle w:val="Heading2"/>
      </w:pPr>
      <w:r>
        <w:rPr>
          <w:rFonts w:ascii="Arial" w:cs="Arial" w:eastAsia="Arial" w:hAnsi="Arial"/>
          <w:b/>
          <w:bCs/>
          <w:sz w:val="28"/>
          <w:szCs w:val="28"/>
        </w:rPr>
        <w:t xml:space="preserve">3.1  STIX und TAXII</w:t>
      </w:r>
    </w:p>
    <w:p>
      <w:pPr>
        <w:spacing w:after="180" w:before="0"/>
        <w:jc w:val="both"/>
      </w:pPr>
      <w:r>
        <w:rPr>
          <w:rFonts w:ascii="Arial" w:cs="Arial" w:eastAsia="Arial" w:hAnsi="Arial"/>
          <w:b w:val="false"/>
          <w:bCs w:val="false"/>
          <w:i w:val="false"/>
          <w:iCs w:val="false"/>
          <w:sz w:val="24"/>
          <w:szCs w:val="24"/>
        </w:rPr>
        <w:t xml:space="preserve">STIX (</w:t>
      </w:r>
      <w:r>
        <w:rPr>
          <w:rFonts w:ascii="Arial" w:cs="Arial" w:eastAsia="Arial" w:hAnsi="Arial"/>
          <w:b w:val="false"/>
          <w:bCs w:val="false"/>
          <w:i/>
          <w:iCs/>
          <w:sz w:val="24"/>
          <w:szCs w:val="24"/>
        </w:rPr>
        <w:t xml:space="preserve">Structured Threat Information eXpression</w:t>
      </w:r>
      <w:r>
        <w:rPr>
          <w:rFonts w:ascii="Arial" w:cs="Arial" w:eastAsia="Arial" w:hAnsi="Arial"/>
          <w:b w:val="false"/>
          <w:bCs w:val="false"/>
          <w:i w:val="false"/>
          <w:iCs w:val="false"/>
          <w:sz w:val="24"/>
          <w:szCs w:val="24"/>
        </w:rPr>
        <w:t xml:space="preserve">) ist ein vom OASIS-Konsortium standardisiertes, JSON-basiertes Datenmodell zur Repräsentation von Bedrohungsobjekten (z. B. Indicators, Malware, Threat Actors, Campaigns) und deren Beziehungen als gerichteter Graph. </w:t>
      </w:r>
      <w:r>
        <w:rPr>
          <w:rFonts w:ascii="Arial" w:cs="Arial" w:eastAsia="Arial" w:hAnsi="Arial"/>
          <w:b w:val="false"/>
          <w:bCs w:val="false"/>
          <w:i w:val="false"/>
          <w:iCs w:val="false"/>
          <w:sz w:val="24"/>
          <w:szCs w:val="24"/>
        </w:rPr>
        <w:t xml:space="preserve">TAXII (</w:t>
      </w:r>
      <w:r>
        <w:rPr>
          <w:rFonts w:ascii="Arial" w:cs="Arial" w:eastAsia="Arial" w:hAnsi="Arial"/>
          <w:b w:val="false"/>
          <w:bCs w:val="false"/>
          <w:i/>
          <w:iCs/>
          <w:sz w:val="24"/>
          <w:szCs w:val="24"/>
        </w:rPr>
        <w:t xml:space="preserve">Trusted Automated eXchange of Intelligence Information</w:t>
      </w:r>
      <w:r>
        <w:rPr>
          <w:rFonts w:ascii="Arial" w:cs="Arial" w:eastAsia="Arial" w:hAnsi="Arial"/>
          <w:b w:val="false"/>
          <w:bCs w:val="false"/>
          <w:i w:val="false"/>
          <w:iCs w:val="false"/>
          <w:sz w:val="24"/>
          <w:szCs w:val="24"/>
        </w:rPr>
        <w:t xml:space="preserve">) definiert das begleitende HTTP-basierte Kommunikationsprotokoll zum Transport von STIX-Inhalten. STIX 2.x und TAXII 2.1 bilden gemeinsam den De-facto-Standard für automatisierten, interoperablen CTI-Austausch (Barnum, 2012; OASIS, 2021).</w:t>
      </w:r>
    </w:p>
    <w:p>
      <w:pPr>
        <w:pStyle w:val="Heading2"/>
      </w:pPr>
      <w:r>
        <w:rPr>
          <w:rFonts w:ascii="Arial" w:cs="Arial" w:eastAsia="Arial" w:hAnsi="Arial"/>
          <w:b/>
          <w:bCs/>
          <w:sz w:val="28"/>
          <w:szCs w:val="28"/>
        </w:rPr>
        <w:t xml:space="preserve">3.2  MISP</w:t>
      </w:r>
    </w:p>
    <w:p>
      <w:pPr>
        <w:spacing w:after="180" w:before="0"/>
        <w:jc w:val="both"/>
      </w:pPr>
      <w:r>
        <w:rPr>
          <w:rFonts w:ascii="Arial" w:cs="Arial" w:eastAsia="Arial" w:hAnsi="Arial"/>
          <w:b w:val="false"/>
          <w:bCs w:val="false"/>
          <w:i w:val="false"/>
          <w:iCs w:val="false"/>
          <w:sz w:val="24"/>
          <w:szCs w:val="24"/>
        </w:rPr>
        <w:t xml:space="preserve">Die </w:t>
      </w:r>
      <w:r>
        <w:rPr>
          <w:rFonts w:ascii="Arial" w:cs="Arial" w:eastAsia="Arial" w:hAnsi="Arial"/>
          <w:b w:val="false"/>
          <w:bCs w:val="false"/>
          <w:i/>
          <w:iCs/>
          <w:sz w:val="24"/>
          <w:szCs w:val="24"/>
        </w:rPr>
        <w:t xml:space="preserve">Malware Information Sharing Platform</w:t>
      </w:r>
      <w:r>
        <w:rPr>
          <w:rFonts w:ascii="Arial" w:cs="Arial" w:eastAsia="Arial" w:hAnsi="Arial"/>
          <w:b w:val="false"/>
          <w:bCs w:val="false"/>
          <w:i w:val="false"/>
          <w:iCs w:val="false"/>
          <w:sz w:val="24"/>
          <w:szCs w:val="24"/>
        </w:rPr>
        <w:t xml:space="preserve"> (MISP) ist eine Open-Source-Plattform, die sowohl als Datenbankformat als auch als kollaborative Sharing-Lösung weit verbreitet ist. MISP unterstützt den Import und Export von STIX/TAXII sowie eigenem MISP-Format und bietet Korrelationsmechanismen, Zugriffskontrolle und Community-Management-Funktionen. Sie wird von zahlreichen nationalen CERTs, ISACs und privaten Unternehmen betrieben (Wagner et al., 2016).</w:t>
      </w:r>
    </w:p>
    <w:p>
      <w:pPr>
        <w:pStyle w:val="Heading2"/>
      </w:pPr>
      <w:r>
        <w:rPr>
          <w:rFonts w:ascii="Arial" w:cs="Arial" w:eastAsia="Arial" w:hAnsi="Arial"/>
          <w:b/>
          <w:bCs/>
          <w:sz w:val="28"/>
          <w:szCs w:val="28"/>
        </w:rPr>
        <w:t xml:space="preserve">3.3  Sharing-Gemeinschaften: ISACs und ISAOs</w:t>
      </w:r>
    </w:p>
    <w:p>
      <w:pPr>
        <w:spacing w:after="180" w:before="0"/>
        <w:jc w:val="both"/>
      </w:pPr>
      <w:r>
        <w:rPr>
          <w:rFonts w:ascii="Arial" w:cs="Arial" w:eastAsia="Arial" w:hAnsi="Arial"/>
          <w:b w:val="false"/>
          <w:bCs w:val="false"/>
          <w:i w:val="false"/>
          <w:iCs w:val="false"/>
          <w:sz w:val="24"/>
          <w:szCs w:val="24"/>
        </w:rPr>
        <w:t xml:space="preserve">Organisatorisch bilden </w:t>
      </w:r>
      <w:r>
        <w:rPr>
          <w:rFonts w:ascii="Arial" w:cs="Arial" w:eastAsia="Arial" w:hAnsi="Arial"/>
          <w:b w:val="false"/>
          <w:bCs w:val="false"/>
          <w:i/>
          <w:iCs/>
          <w:sz w:val="24"/>
          <w:szCs w:val="24"/>
        </w:rPr>
        <w:t xml:space="preserve">Information Sharing and Analysis Centers</w:t>
      </w:r>
      <w:r>
        <w:rPr>
          <w:rFonts w:ascii="Arial" w:cs="Arial" w:eastAsia="Arial" w:hAnsi="Arial"/>
          <w:b w:val="false"/>
          <w:bCs w:val="false"/>
          <w:i w:val="false"/>
          <w:iCs w:val="false"/>
          <w:sz w:val="24"/>
          <w:szCs w:val="24"/>
        </w:rPr>
        <w:t xml:space="preserve"> (ISACs) und </w:t>
      </w:r>
      <w:r>
        <w:rPr>
          <w:rFonts w:ascii="Arial" w:cs="Arial" w:eastAsia="Arial" w:hAnsi="Arial"/>
          <w:b w:val="false"/>
          <w:bCs w:val="false"/>
          <w:i/>
          <w:iCs/>
          <w:sz w:val="24"/>
          <w:szCs w:val="24"/>
        </w:rPr>
        <w:t xml:space="preserve">Information Sharing and Analysis Organizations</w:t>
      </w:r>
      <w:r>
        <w:rPr>
          <w:rFonts w:ascii="Arial" w:cs="Arial" w:eastAsia="Arial" w:hAnsi="Arial"/>
          <w:b w:val="false"/>
          <w:bCs w:val="false"/>
          <w:i w:val="false"/>
          <w:iCs w:val="false"/>
          <w:sz w:val="24"/>
          <w:szCs w:val="24"/>
        </w:rPr>
        <w:t xml:space="preserve"> (ISAOs) die primären institutionellen Rahmen für sektorielles CTI-Sharing. ISACs existieren für kritische Infrastruktursektoren wie Finanzwesen (FS-ISAC), Energie (E-ISAC) oder Gesundheit (H-ISAC) und kombinieren technischen Datenaustausch mit Vertrauensbeziehungen und rechtlichen Vereinbarungen, z. B. dem Traffic Light Protocol (TLP). Auf europäischer Ebene koordiniert ENISA einschlägige nationale Initiativen und gibt Handlungsempfehlungen heraus.</w:t>
      </w:r>
    </w:p>
    <w:p>
      <w:pPr>
        <w:pStyle w:val="Heading1"/>
      </w:pPr>
      <w:r>
        <w:rPr>
          <w:rFonts w:ascii="Arial" w:cs="Arial" w:eastAsia="Arial" w:hAnsi="Arial"/>
          <w:b/>
          <w:bCs/>
          <w:sz w:val="32"/>
          <w:szCs w:val="32"/>
        </w:rPr>
        <w:t xml:space="preserve">4  Offene Herausforderungen und Forschungsstand</w:t>
      </w:r>
    </w:p>
    <w:p>
      <w:pPr>
        <w:spacing w:after="180" w:before="0"/>
        <w:jc w:val="both"/>
      </w:pPr>
      <w:r>
        <w:rPr>
          <w:rFonts w:ascii="Arial" w:cs="Arial" w:eastAsia="Arial" w:hAnsi="Arial"/>
          <w:sz w:val="24"/>
          <w:szCs w:val="24"/>
        </w:rPr>
        <w:t xml:space="preserve">Trotz etablierter Standards und wachsender Sharing-Gemeinschaften identifiziert die Forschung eine Reihe persistenter Problemfelder, die das Potenzial des CTI-Sharings gegenwärtig einschränken:</w:t>
      </w:r>
    </w:p>
    <w:p>
      <w:pPr>
        <w:pStyle w:val="ListParagraph"/>
        <w:numPr>
          <w:ilvl w:val="0"/>
          <w:numId w:val="2"/>
        </w:numPr>
        <w:spacing w:after="100" w:before="0"/>
        <w:jc w:val="both"/>
      </w:pPr>
      <w:r>
        <w:rPr>
          <w:rFonts w:ascii="Arial" w:cs="Arial" w:eastAsia="Arial" w:hAnsi="Arial"/>
          <w:b/>
          <w:bCs/>
          <w:i w:val="false"/>
          <w:iCs w:val="false"/>
          <w:sz w:val="24"/>
          <w:szCs w:val="24"/>
        </w:rPr>
        <w:t xml:space="preserve">Datenqualität und -relevanz:</w:t>
      </w:r>
      <w:r>
        <w:rPr>
          <w:rFonts w:ascii="Arial" w:cs="Arial" w:eastAsia="Arial" w:hAnsi="Arial"/>
          <w:b w:val="false"/>
          <w:bCs w:val="false"/>
          <w:i w:val="false"/>
          <w:iCs w:val="false"/>
          <w:sz w:val="24"/>
          <w:szCs w:val="24"/>
        </w:rPr>
        <w:t xml:space="preserve"> Die Menge verbreiteter IoCs wächst schnell, jedoch variiert ihre Qualität stark. Veraltete oder falsch-positive Indikatoren erhöhen den Betriebsaufwand auf Empfängerseite erheblich (Liao et al., 2016).</w:t>
      </w:r>
    </w:p>
    <w:p>
      <w:pPr>
        <w:pStyle w:val="ListParagraph"/>
        <w:numPr>
          <w:ilvl w:val="0"/>
          <w:numId w:val="2"/>
        </w:numPr>
        <w:spacing w:after="100" w:before="0"/>
        <w:jc w:val="both"/>
      </w:pPr>
      <w:r>
        <w:rPr>
          <w:rFonts w:ascii="Arial" w:cs="Arial" w:eastAsia="Arial" w:hAnsi="Arial"/>
          <w:b/>
          <w:bCs/>
          <w:i w:val="false"/>
          <w:iCs w:val="false"/>
          <w:sz w:val="24"/>
          <w:szCs w:val="24"/>
        </w:rPr>
        <w:t xml:space="preserve">Vertrauen und Reziprozität:</w:t>
      </w:r>
      <w:r>
        <w:rPr>
          <w:rFonts w:ascii="Arial" w:cs="Arial" w:eastAsia="Arial" w:hAnsi="Arial"/>
          <w:b w:val="false"/>
          <w:bCs w:val="false"/>
          <w:i w:val="false"/>
          <w:iCs w:val="false"/>
          <w:sz w:val="24"/>
          <w:szCs w:val="24"/>
        </w:rPr>
        <w:t xml:space="preserve"> Sharing-Beziehungen erfordern Vertrauen. Asymmetrien – wenn Teilnehmer Informationen konsumieren, ohne eigene Beiträge zu leisten (Free-Rider-Problem) – gefährden die Nachhaltigkeit von Sharing-Gemeinschaften (Skopik et al., 2016).</w:t>
      </w:r>
    </w:p>
    <w:p>
      <w:pPr>
        <w:pStyle w:val="ListParagraph"/>
        <w:numPr>
          <w:ilvl w:val="0"/>
          <w:numId w:val="2"/>
        </w:numPr>
        <w:spacing w:after="100" w:before="0"/>
        <w:jc w:val="both"/>
      </w:pPr>
      <w:r>
        <w:rPr>
          <w:rFonts w:ascii="Arial" w:cs="Arial" w:eastAsia="Arial" w:hAnsi="Arial"/>
          <w:b/>
          <w:bCs/>
          <w:i w:val="false"/>
          <w:iCs w:val="false"/>
          <w:sz w:val="24"/>
          <w:szCs w:val="24"/>
        </w:rPr>
        <w:t xml:space="preserve">Datenschutz und rechtliche Compliance:</w:t>
      </w:r>
      <w:r>
        <w:rPr>
          <w:rFonts w:ascii="Arial" w:cs="Arial" w:eastAsia="Arial" w:hAnsi="Arial"/>
          <w:b w:val="false"/>
          <w:bCs w:val="false"/>
          <w:i w:val="false"/>
          <w:iCs w:val="false"/>
          <w:sz w:val="24"/>
          <w:szCs w:val="24"/>
        </w:rPr>
        <w:t xml:space="preserve"> Das Teilen von Netzwerk- oder Log-Daten kann personenbezogene Informationen enthalten und unterliegt damit der DSGVO. Die Anonymisierung von CTI-Daten ohne Informationsverlust ist ein aktives Forschungsfeld (Schaberreiter et al., 2019).</w:t>
      </w:r>
    </w:p>
    <w:p>
      <w:pPr>
        <w:pStyle w:val="ListParagraph"/>
        <w:numPr>
          <w:ilvl w:val="0"/>
          <w:numId w:val="2"/>
        </w:numPr>
        <w:spacing w:after="100" w:before="0"/>
        <w:jc w:val="both"/>
      </w:pPr>
      <w:r>
        <w:rPr>
          <w:rFonts w:ascii="Arial" w:cs="Arial" w:eastAsia="Arial" w:hAnsi="Arial"/>
          <w:b/>
          <w:bCs/>
          <w:i w:val="false"/>
          <w:iCs w:val="false"/>
          <w:sz w:val="24"/>
          <w:szCs w:val="24"/>
        </w:rPr>
        <w:t xml:space="preserve">Automatisierung und Maschinenlesbarkeit:</w:t>
      </w:r>
      <w:r>
        <w:rPr>
          <w:rFonts w:ascii="Arial" w:cs="Arial" w:eastAsia="Arial" w:hAnsi="Arial"/>
          <w:b w:val="false"/>
          <w:bCs w:val="false"/>
          <w:i w:val="false"/>
          <w:iCs w:val="false"/>
          <w:sz w:val="24"/>
          <w:szCs w:val="24"/>
        </w:rPr>
        <w:t xml:space="preserve"> Ein Großteil des in der Praxis geteilten CTI liegt in unstrukturierter Form vor (PDF-Berichte, E-Mails). Methoden der Natural Language Processing (NLP) und Knowledge-Graph-Extraktion zur automatischen Strukturierung solcher Quellen gewinnen daher an Bedeutung.</w:t>
      </w:r>
    </w:p>
    <w:p>
      <w:pPr>
        <w:pStyle w:val="ListParagraph"/>
        <w:numPr>
          <w:ilvl w:val="0"/>
          <w:numId w:val="2"/>
        </w:numPr>
        <w:spacing w:after="100" w:before="0"/>
        <w:jc w:val="both"/>
      </w:pPr>
      <w:r>
        <w:rPr>
          <w:rFonts w:ascii="Arial" w:cs="Arial" w:eastAsia="Arial" w:hAnsi="Arial"/>
          <w:b/>
          <w:bCs/>
          <w:i w:val="false"/>
          <w:iCs w:val="false"/>
          <w:sz w:val="24"/>
          <w:szCs w:val="24"/>
        </w:rPr>
        <w:t xml:space="preserve">Interoperabilität:</w:t>
      </w:r>
      <w:r>
        <w:rPr>
          <w:rFonts w:ascii="Arial" w:cs="Arial" w:eastAsia="Arial" w:hAnsi="Arial"/>
          <w:b w:val="false"/>
          <w:bCs w:val="false"/>
          <w:i w:val="false"/>
          <w:iCs w:val="false"/>
          <w:sz w:val="24"/>
          <w:szCs w:val="24"/>
        </w:rPr>
        <w:t xml:space="preserve"> Trotz STIX/TAXII existieren zahlreiche proprietäre oder plattformspezifische Formate. Die semantische Harmonisierung zwischen Plattformen – etwa MISP, OpenCTI oder kommerziellen SOAR-Lösungen – bleibt technisch aufwendig.</w:t>
      </w:r>
    </w:p>
    <w:p>
      <w:pPr>
        <w:pStyle w:val="Heading1"/>
      </w:pPr>
      <w:r>
        <w:rPr>
          <w:rFonts w:ascii="Arial" w:cs="Arial" w:eastAsia="Arial" w:hAnsi="Arial"/>
          <w:b/>
          <w:bCs/>
          <w:sz w:val="32"/>
          <w:szCs w:val="32"/>
        </w:rPr>
        <w:t xml:space="preserve">5  Einordnung und Ausblick</w:t>
      </w:r>
    </w:p>
    <w:p>
      <w:pPr>
        <w:spacing w:after="180" w:before="0"/>
        <w:jc w:val="both"/>
      </w:pPr>
      <w:r>
        <w:rPr>
          <w:rFonts w:ascii="Arial" w:cs="Arial" w:eastAsia="Arial" w:hAnsi="Arial"/>
          <w:sz w:val="24"/>
          <w:szCs w:val="24"/>
        </w:rPr>
        <w:t xml:space="preserve">CTI-Sharing ist ein interdisziplinäres Forschungsfeld an der Schnittstelle von Informationssicherheit, Wirtschaftsinformatik, Rechtswissenschaft und Kryptographie. Regulatorische Impulse – darunter die EU-Richtlinie NIS 2 (2022/2555/EU), die von Unternehmen kritischer Infrastrukturen ein strukturiertes Vorfallsmeldesystem fordert, sowie der Cyber Solidarity Act der Europäischen Kommission – verstärken den praktischen Handlungsdruck und erhöhen gleichzeitig die gesellschaftliche Relevanz akademischer Beiträge zur Optimierung von Sharing-Mechanismen.</w:t>
      </w:r>
    </w:p>
    <w:p>
      <w:pPr>
        <w:spacing w:after="180" w:before="0"/>
        <w:jc w:val="both"/>
      </w:pPr>
      <w:r>
        <w:rPr>
          <w:rFonts w:ascii="Arial" w:cs="Arial" w:eastAsia="Arial" w:hAnsi="Arial"/>
          <w:sz w:val="24"/>
          <w:szCs w:val="24"/>
        </w:rPr>
        <w:t xml:space="preserve">[PLATZHALTER – Eigene Forschungslücke / Zielsetzung hier einfügen] Die vorliegende Arbeit setzt an [...] an und leistet einen Beitrag zu [...]. Im Folgenden werden [Aufbau der Arbeit].</w:t>
      </w:r>
    </w:p>
    <w:p>
      <w:pPr>
        <w:pStyle w:val="Heading1"/>
      </w:pPr>
      <w:r>
        <w:rPr>
          <w:rFonts w:ascii="Arial" w:cs="Arial" w:eastAsia="Arial" w:hAnsi="Arial"/>
          <w:b/>
          <w:bCs/>
          <w:sz w:val="32"/>
          <w:szCs w:val="32"/>
        </w:rPr>
        <w:t xml:space="preserve">Ausgewählte Literatur (Ausgangspunkt)</w:t>
      </w:r>
    </w:p>
    <w:p>
      <w:pPr>
        <w:spacing w:after="180" w:before="0"/>
        <w:jc w:val="both"/>
      </w:pPr>
      <w:r>
        <w:rPr>
          <w:rFonts w:ascii="Arial" w:cs="Arial" w:eastAsia="Arial" w:hAnsi="Arial"/>
          <w:sz w:val="24"/>
          <w:szCs w:val="24"/>
        </w:rPr>
        <w:t xml:space="preserve">Die nachfolgende Liste dient als Einstiegspunkt und erhebt keinen Anspruch auf Vollständigkeit. Bitte prüfen Sie Verfügbarkeit, Aktualität und Zitierstil vor Verwendung.</w:t>
      </w:r>
    </w:p>
    <w:p>
      <w:pPr>
        <w:spacing w:after="100" w:before="0"/>
        <w:ind w:left="720" w:hanging="360"/>
      </w:pPr>
      <w:r>
        <w:rPr>
          <w:rFonts w:ascii="Arial" w:cs="Arial" w:eastAsia="Arial" w:hAnsi="Arial"/>
          <w:sz w:val="20"/>
          <w:szCs w:val="20"/>
        </w:rPr>
        <w:t xml:space="preserve">Barnum, S. (2012). Standardizing cyber threat intelligence information with the Structured Threat Information eXpression (STIX). MITRE Corporation.</w:t>
      </w:r>
    </w:p>
    <w:p>
      <w:pPr>
        <w:spacing w:after="100" w:before="0"/>
        <w:ind w:left="720" w:hanging="360"/>
      </w:pPr>
      <w:r>
        <w:rPr>
          <w:rFonts w:ascii="Arial" w:cs="Arial" w:eastAsia="Arial" w:hAnsi="Arial"/>
          <w:sz w:val="20"/>
          <w:szCs w:val="20"/>
        </w:rPr>
        <w:t xml:space="preserve">Johnson, C., Badger, M., Waltermire, D., Snyder, J., &amp; Skorupka, C. (2016). Guide to Cyber Threat Information Sharing (NIST SP 800-150). NIST.</w:t>
      </w:r>
    </w:p>
    <w:p>
      <w:pPr>
        <w:spacing w:after="100" w:before="0"/>
        <w:ind w:left="720" w:hanging="360"/>
      </w:pPr>
      <w:r>
        <w:rPr>
          <w:rFonts w:ascii="Arial" w:cs="Arial" w:eastAsia="Arial" w:hAnsi="Arial"/>
          <w:sz w:val="20"/>
          <w:szCs w:val="20"/>
        </w:rPr>
        <w:t xml:space="preserve">Liao, X., Yuan, K., Wang, X., Li, Z., Xing, L., &amp; Beyah, R. (2016). Acing the IOC game: Toward automatic discovery and analysis of open-source cyber threat intelligence. ACM CCS 2016.</w:t>
      </w:r>
    </w:p>
    <w:p>
      <w:pPr>
        <w:spacing w:after="100" w:before="0"/>
        <w:ind w:left="720" w:hanging="360"/>
      </w:pPr>
      <w:r>
        <w:rPr>
          <w:rFonts w:ascii="Arial" w:cs="Arial" w:eastAsia="Arial" w:hAnsi="Arial"/>
          <w:sz w:val="20"/>
          <w:szCs w:val="20"/>
        </w:rPr>
        <w:t xml:space="preserve">OASIS. (2021). STIX Version 2.1 / TAXII Version 2.1. OASIS Standard.</w:t>
      </w:r>
    </w:p>
    <w:p>
      <w:pPr>
        <w:spacing w:after="100" w:before="0"/>
        <w:ind w:left="720" w:hanging="360"/>
      </w:pPr>
      <w:r>
        <w:rPr>
          <w:rFonts w:ascii="Arial" w:cs="Arial" w:eastAsia="Arial" w:hAnsi="Arial"/>
          <w:sz w:val="20"/>
          <w:szCs w:val="20"/>
        </w:rPr>
        <w:t xml:space="preserve">Sauerwein, C., Sillaber, C., Mussmann, A., &amp; Breu, R. (2017). Threat intelligence sharing platforms: An exploratory study of software vendors and research perspectives. WI 2017.</w:t>
      </w:r>
    </w:p>
    <w:p>
      <w:pPr>
        <w:spacing w:after="100" w:before="0"/>
        <w:ind w:left="720" w:hanging="360"/>
      </w:pPr>
      <w:r>
        <w:rPr>
          <w:rFonts w:ascii="Arial" w:cs="Arial" w:eastAsia="Arial" w:hAnsi="Arial"/>
          <w:sz w:val="20"/>
          <w:szCs w:val="20"/>
        </w:rPr>
        <w:t xml:space="preserve">Schaberreiter, T., Kupfersberger, V., Rantos, K., Spyros, A., Papanikolaou, A., Ilioudis, C., &amp; Quirchmayr, G. (2019). A quantitative evaluation of trust in the quality of cyber threat intelligence sources. ARES 2019.</w:t>
      </w:r>
    </w:p>
    <w:p>
      <w:pPr>
        <w:spacing w:after="100" w:before="0"/>
        <w:ind w:left="720" w:hanging="360"/>
      </w:pPr>
      <w:r>
        <w:rPr>
          <w:rFonts w:ascii="Arial" w:cs="Arial" w:eastAsia="Arial" w:hAnsi="Arial"/>
          <w:sz w:val="20"/>
          <w:szCs w:val="20"/>
        </w:rPr>
        <w:t xml:space="preserve">Schlette, D., Caselli, M., &amp; Pernul, G. (2021). A comparative study on cyber threat intelligence: The security incident response perspective. IEEE Communications Surveys &amp; Tutorials, 23(4), 2525–2556.</w:t>
      </w:r>
    </w:p>
    <w:p>
      <w:pPr>
        <w:spacing w:after="100" w:before="0"/>
        <w:ind w:left="720" w:hanging="360"/>
      </w:pPr>
      <w:r>
        <w:rPr>
          <w:rFonts w:ascii="Arial" w:cs="Arial" w:eastAsia="Arial" w:hAnsi="Arial"/>
          <w:sz w:val="20"/>
          <w:szCs w:val="20"/>
        </w:rPr>
        <w:t xml:space="preserve">Skopik, F., Settanni, G., &amp; Fiedler, R. (2016). A problem shared is a problem halved: A survey on the dimensions of collective cyber defense through security information sharing. Computers &amp; Security, 60, 154–176.</w:t>
      </w:r>
    </w:p>
    <w:p>
      <w:pPr>
        <w:spacing w:after="100" w:before="0"/>
        <w:ind w:left="720" w:hanging="360"/>
      </w:pPr>
      <w:r>
        <w:rPr>
          <w:rFonts w:ascii="Arial" w:cs="Arial" w:eastAsia="Arial" w:hAnsi="Arial"/>
          <w:sz w:val="20"/>
          <w:szCs w:val="20"/>
        </w:rPr>
        <w:t xml:space="preserve">Strom, B. E., Applebaum, A., Miller, D. P., Nickels, K. C., Pennington, A. G., &amp; Thomas, C. B. (2018). MITRE ATT&amp;CK: Design and philosophy. MITRE Corporation.</w:t>
      </w:r>
    </w:p>
    <w:p>
      <w:pPr>
        <w:spacing w:after="100" w:before="0"/>
        <w:ind w:left="720" w:hanging="360"/>
      </w:pPr>
      <w:r>
        <w:rPr>
          <w:rFonts w:ascii="Arial" w:cs="Arial" w:eastAsia="Arial" w:hAnsi="Arial"/>
          <w:sz w:val="20"/>
          <w:szCs w:val="20"/>
        </w:rPr>
        <w:t xml:space="preserve">Tounsi, W., &amp; Rais, H. (2018). A survey on technical threat intelligence in the age of sophisticated cyber attacks. Computers &amp; Security, 72, 212–233.</w:t>
      </w:r>
    </w:p>
    <w:p>
      <w:pPr>
        <w:spacing w:after="100" w:before="0"/>
        <w:ind w:left="720" w:hanging="360"/>
      </w:pPr>
      <w:r>
        <w:rPr>
          <w:rFonts w:ascii="Arial" w:cs="Arial" w:eastAsia="Arial" w:hAnsi="Arial"/>
          <w:sz w:val="20"/>
          <w:szCs w:val="20"/>
        </w:rPr>
        <w:t xml:space="preserve">Wagner, T. D., Mahbub, K., Palomar, E., &amp; Abdallah, A. E. (2019). Cyber threat intelligence sharing: Survey and research directions. Computers &amp; Security, 87, 101589.</w:t>
      </w:r>
    </w:p>
    <w:p>
      <w:pPr>
        <w:spacing w:after="100" w:before="0"/>
        <w:ind w:left="720" w:hanging="360"/>
      </w:pPr>
      <w:r>
        <w:rPr>
          <w:rFonts w:ascii="Arial" w:cs="Arial" w:eastAsia="Arial" w:hAnsi="Arial"/>
          <w:sz w:val="20"/>
          <w:szCs w:val="20"/>
        </w:rPr>
        <w:t xml:space="preserve">Wagner, C., Dulaunoy, A., Wagener, G., &amp; Iklody, A. (2016). MISP: The design and implementation of a collaborative threat intelligence sharing platform. CCSW 2016.</w:t>
      </w:r>
    </w:p>
    <w:p>
      <w:pPr>
        <w:spacing w:after="0" w:before="300"/>
      </w:pPr>
    </w:p>
    <w:p>
      <w:pPr>
        <w:pBdr>
          <w:top w:val="single" w:color="AAAAAA" w:sz="4" w:space="4"/>
        </w:pBdr>
        <w:spacing w:after="0" w:before="0"/>
        <w:jc w:val="center"/>
      </w:pPr>
      <w:r>
        <w:rPr>
          <w:rFonts w:ascii="Arial" w:cs="Arial" w:eastAsia="Arial" w:hAnsi="Arial"/>
          <w:i/>
          <w:iCs/>
          <w:color w:val="888888"/>
          <w:sz w:val="20"/>
          <w:szCs w:val="20"/>
        </w:rPr>
        <w:t xml:space="preserve">Vorlage – bitte an eigenen Kontext und Zitierstil anpassen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2026-05-12T08:07:17.951Z</dcterms:created>
  <dcterms:modified xsi:type="dcterms:W3CDTF">2026-05-12T08:07:17.951Z</dcterms:modified>
</cp:coreProperties>
</file>

<file path=docProps/custom.xml><?xml version="1.0" encoding="utf-8"?>
<Properties xmlns="http://schemas.openxmlformats.org/officeDocument/2006/custom-properties" xmlns:vt="http://schemas.openxmlformats.org/officeDocument/2006/docPropsVTypes"/>
</file>