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CS 677 Final Project: LSTMs on SPY Data</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Rahul Basu and Michael Lan</w:t>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TABLE OF CONTENTS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Introduction to Models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Model Architecture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Raw Output of Actual vs Model Prices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Evaluation of Actual vs Model Prices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Comparing lookback sizes for Model A’s Low + Close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b w:val="1"/>
          <w:sz w:val="28"/>
          <w:szCs w:val="28"/>
        </w:rPr>
      </w:pPr>
      <w:r w:rsidDel="00000000" w:rsidR="00000000" w:rsidRPr="00000000">
        <w:rPr>
          <w:b w:val="1"/>
          <w:sz w:val="28"/>
          <w:szCs w:val="28"/>
          <w:rtl w:val="0"/>
        </w:rPr>
        <w:t xml:space="preserve">1) Introduction to Models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0" w:firstLine="0"/>
        <w:rPr>
          <w:u w:val="single"/>
        </w:rPr>
      </w:pPr>
      <w:r w:rsidDel="00000000" w:rsidR="00000000" w:rsidRPr="00000000">
        <w:rPr>
          <w:u w:val="single"/>
          <w:rtl w:val="0"/>
        </w:rPr>
        <w:t xml:space="preserve">TIME SERIES TRAINING DATA:</w:t>
      </w:r>
    </w:p>
    <w:p w:rsidR="00000000" w:rsidDel="00000000" w:rsidP="00000000" w:rsidRDefault="00000000" w:rsidRPr="00000000" w14:paraId="00000011">
      <w:pPr>
        <w:rPr/>
      </w:pPr>
      <w:r w:rsidDel="00000000" w:rsidR="00000000" w:rsidRPr="00000000">
        <w:rPr>
          <w:rtl w:val="0"/>
        </w:rPr>
        <w:t xml:space="preserve">SPY is an Exchange-traded fund (ETF) that reflects the performance of the S&amp;P 500 Index.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S&amp;P 500 acts as major benchmarks of the U.S. equity market and indicates the financial health and stability of the economy. It is composed of five hundred selected stocks trading in the U.S., spanning over 20 separate industry groupings.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MODEL A:</w:t>
      </w:r>
    </w:p>
    <w:p w:rsidR="00000000" w:rsidDel="00000000" w:rsidP="00000000" w:rsidRDefault="00000000" w:rsidRPr="00000000" w14:paraId="00000016">
      <w:pPr>
        <w:rPr/>
      </w:pPr>
      <w:r w:rsidDel="00000000" w:rsidR="00000000" w:rsidRPr="00000000">
        <w:rPr>
          <w:rtl w:val="0"/>
        </w:rPr>
        <w:t xml:space="preserve">Uses 4 separate models, each trained on a specific type of stock price. For instance, one model is trained only one open prices and outputs only open prices. This model is trained from 11/22/2013 to 4/16/2019. Open+High models used lookback of 100, while Low+Close models used lookback of 150. These are the results posted on Moodle.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u w:val="single"/>
          <w:rtl w:val="0"/>
        </w:rPr>
        <w:t xml:space="preserve">MODEL B:</w:t>
      </w:r>
    </w:p>
    <w:p w:rsidR="00000000" w:rsidDel="00000000" w:rsidP="00000000" w:rsidRDefault="00000000" w:rsidRPr="00000000" w14:paraId="00000019">
      <w:pPr>
        <w:rPr/>
      </w:pPr>
      <w:r w:rsidDel="00000000" w:rsidR="00000000" w:rsidRPr="00000000">
        <w:rPr>
          <w:rtl w:val="0"/>
        </w:rPr>
        <w:t xml:space="preserve">After this was submitted on 5/8, we realized we may have misunderstood the instructions, so we trained a new model that takes in all 5 time series (including volume). This new model is trained on ALL data up to 5/7 and uses lookback of 100. Its predictions are given in Results B and outputs all 5 types (open, high, low, close, vol). As shown in our reports, Results B were closer to the actual data.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sz w:val="28"/>
          <w:szCs w:val="28"/>
          <w:rtl w:val="0"/>
        </w:rPr>
        <w:t xml:space="preserve">2) Model Architecture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For all models, we trained using the Adam optimizer, with mean squared error as Loss and using MSE as evaluation metric. Validation data (split using 10% of training data) was initially used to select hyperparameters, but was later not used when we decided that the original model using 50 units in 4 LSTM layers with a final fully connected dense layer worked well.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u w:val="single"/>
          <w:rtl w:val="0"/>
        </w:rPr>
        <w:t xml:space="preserve">MODEL A TRAINING</w:t>
      </w:r>
    </w:p>
    <w:p w:rsidR="00000000" w:rsidDel="00000000" w:rsidP="00000000" w:rsidRDefault="00000000" w:rsidRPr="00000000" w14:paraId="00000020">
      <w:pPr>
        <w:rPr/>
      </w:pPr>
      <w:r w:rsidDel="00000000" w:rsidR="00000000" w:rsidRPr="00000000">
        <w:rPr>
          <w:rtl w:val="0"/>
        </w:rPr>
        <w:t xml:space="preserve">During training, models were trained on various subsets of training data. Evaluation was done by testing the model on 2 types of test data: from 4/17 to 5/3, and on all data (including the training data). The Root Mean Square Error was taken for these evaluations.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rtl w:val="0"/>
        </w:rPr>
        <w:t xml:space="preserve">Lookback: sliding window used to obtain the past observations used for predictions</w:t>
      </w: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compared various models using different combinations of training data subsets and lookback. These training data subsets included:</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All data up to 4/16</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Observation #4000 to #5348  (so 11/22/2013 to 4/16/2019)</w:t>
      </w:r>
    </w:p>
    <w:p w:rsidR="00000000" w:rsidDel="00000000" w:rsidP="00000000" w:rsidRDefault="00000000" w:rsidRPr="00000000" w14:paraId="00000027">
      <w:pPr>
        <w:ind w:left="0" w:firstLine="0"/>
        <w:rPr/>
      </w:pPr>
      <w:r w:rsidDel="00000000" w:rsidR="00000000" w:rsidRPr="00000000">
        <w:rPr>
          <w:rtl w:val="0"/>
        </w:rPr>
        <w:t xml:space="preserve">We tested these in combination with various lookbacks values: 30, 60, 90, 100, 120, 150.</w:t>
      </w:r>
    </w:p>
    <w:p w:rsidR="00000000" w:rsidDel="00000000" w:rsidP="00000000" w:rsidRDefault="00000000" w:rsidRPr="00000000" w14:paraId="00000028">
      <w:pPr>
        <w:ind w:left="0" w:firstLine="0"/>
        <w:rPr/>
      </w:pPr>
      <w:r w:rsidDel="00000000" w:rsidR="00000000" w:rsidRPr="00000000">
        <w:rPr>
          <w:rtl w:val="0"/>
        </w:rPr>
        <w:t xml:space="preserve">We found that using observations starting from 11/22/2013 with lookback of 100 worked well. We found a lookback of 150 worked better for Low and Close prices when evaluated on 4/17 to 5/3 data.</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Dropout was used at first, but it was later not used as it was found that dropout made the result trends too smooth, which did not reflect the jagged nature of the actual price trends.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MODEL A Architecture:</w:t>
      </w:r>
    </w:p>
    <w:p w:rsidR="00000000" w:rsidDel="00000000" w:rsidP="00000000" w:rsidRDefault="00000000" w:rsidRPr="00000000" w14:paraId="0000002D">
      <w:pPr>
        <w:rPr/>
      </w:pPr>
      <w:r w:rsidDel="00000000" w:rsidR="00000000" w:rsidRPr="00000000">
        <w:rPr>
          <w:rtl w:val="0"/>
        </w:rPr>
        <w:t xml:space="preserve">_________________________________________________________________</w:t>
      </w:r>
    </w:p>
    <w:p w:rsidR="00000000" w:rsidDel="00000000" w:rsidP="00000000" w:rsidRDefault="00000000" w:rsidRPr="00000000" w14:paraId="0000002E">
      <w:pPr>
        <w:rPr/>
      </w:pPr>
      <w:r w:rsidDel="00000000" w:rsidR="00000000" w:rsidRPr="00000000">
        <w:rPr>
          <w:rtl w:val="0"/>
        </w:rPr>
        <w:t xml:space="preserve">Layer (type)                 Output Shape              Param #   </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lstm_1 (LSTM)                (None, 100, 50)           10400     </w:t>
      </w:r>
    </w:p>
    <w:p w:rsidR="00000000" w:rsidDel="00000000" w:rsidP="00000000" w:rsidRDefault="00000000" w:rsidRPr="00000000" w14:paraId="00000031">
      <w:pPr>
        <w:rPr/>
      </w:pPr>
      <w:r w:rsidDel="00000000" w:rsidR="00000000" w:rsidRPr="00000000">
        <w:rPr>
          <w:rtl w:val="0"/>
        </w:rPr>
        <w:t xml:space="preserve">_________________________________________________________________</w:t>
      </w:r>
    </w:p>
    <w:p w:rsidR="00000000" w:rsidDel="00000000" w:rsidP="00000000" w:rsidRDefault="00000000" w:rsidRPr="00000000" w14:paraId="00000032">
      <w:pPr>
        <w:rPr/>
      </w:pPr>
      <w:r w:rsidDel="00000000" w:rsidR="00000000" w:rsidRPr="00000000">
        <w:rPr>
          <w:rtl w:val="0"/>
        </w:rPr>
        <w:t xml:space="preserve">lstm_2 (LSTM)                (None, 100, 50)           20200     </w:t>
      </w:r>
    </w:p>
    <w:p w:rsidR="00000000" w:rsidDel="00000000" w:rsidP="00000000" w:rsidRDefault="00000000" w:rsidRPr="00000000" w14:paraId="00000033">
      <w:pPr>
        <w:rPr/>
      </w:pPr>
      <w:r w:rsidDel="00000000" w:rsidR="00000000" w:rsidRPr="00000000">
        <w:rPr>
          <w:rtl w:val="0"/>
        </w:rPr>
        <w:t xml:space="preserve">_________________________________________________________________</w:t>
      </w:r>
    </w:p>
    <w:p w:rsidR="00000000" w:rsidDel="00000000" w:rsidP="00000000" w:rsidRDefault="00000000" w:rsidRPr="00000000" w14:paraId="00000034">
      <w:pPr>
        <w:rPr/>
      </w:pPr>
      <w:r w:rsidDel="00000000" w:rsidR="00000000" w:rsidRPr="00000000">
        <w:rPr>
          <w:rtl w:val="0"/>
        </w:rPr>
        <w:t xml:space="preserve">lstm_3 (LSTM)                (None, 100, 50)           20200     </w:t>
      </w:r>
    </w:p>
    <w:p w:rsidR="00000000" w:rsidDel="00000000" w:rsidP="00000000" w:rsidRDefault="00000000" w:rsidRPr="00000000" w14:paraId="00000035">
      <w:pPr>
        <w:rPr/>
      </w:pPr>
      <w:r w:rsidDel="00000000" w:rsidR="00000000" w:rsidRPr="00000000">
        <w:rPr>
          <w:rtl w:val="0"/>
        </w:rPr>
        <w:t xml:space="preserve">_________________________________________________________________</w:t>
      </w:r>
    </w:p>
    <w:p w:rsidR="00000000" w:rsidDel="00000000" w:rsidP="00000000" w:rsidRDefault="00000000" w:rsidRPr="00000000" w14:paraId="00000036">
      <w:pPr>
        <w:rPr/>
      </w:pPr>
      <w:r w:rsidDel="00000000" w:rsidR="00000000" w:rsidRPr="00000000">
        <w:rPr>
          <w:rtl w:val="0"/>
        </w:rPr>
        <w:t xml:space="preserve">lstm_4 (LSTM)                (None, 50)                20200     </w:t>
      </w:r>
    </w:p>
    <w:p w:rsidR="00000000" w:rsidDel="00000000" w:rsidP="00000000" w:rsidRDefault="00000000" w:rsidRPr="00000000" w14:paraId="00000037">
      <w:pPr>
        <w:rPr/>
      </w:pPr>
      <w:r w:rsidDel="00000000" w:rsidR="00000000" w:rsidRPr="00000000">
        <w:rPr>
          <w:rtl w:val="0"/>
        </w:rPr>
        <w:t xml:space="preserve">_________________________________________________________________</w:t>
      </w:r>
    </w:p>
    <w:p w:rsidR="00000000" w:rsidDel="00000000" w:rsidP="00000000" w:rsidRDefault="00000000" w:rsidRPr="00000000" w14:paraId="00000038">
      <w:pPr>
        <w:rPr/>
      </w:pPr>
      <w:r w:rsidDel="00000000" w:rsidR="00000000" w:rsidRPr="00000000">
        <w:rPr>
          <w:rtl w:val="0"/>
        </w:rPr>
        <w:t xml:space="preserve">dense_1 (Dense)              (None, 1)                 51        </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Total params: 71,051</w:t>
      </w:r>
    </w:p>
    <w:p w:rsidR="00000000" w:rsidDel="00000000" w:rsidP="00000000" w:rsidRDefault="00000000" w:rsidRPr="00000000" w14:paraId="0000003B">
      <w:pPr>
        <w:rPr/>
      </w:pPr>
      <w:r w:rsidDel="00000000" w:rsidR="00000000" w:rsidRPr="00000000">
        <w:rPr>
          <w:rtl w:val="0"/>
        </w:rPr>
        <w:t xml:space="preserve">Trainable params: 71,051</w:t>
      </w:r>
    </w:p>
    <w:p w:rsidR="00000000" w:rsidDel="00000000" w:rsidP="00000000" w:rsidRDefault="00000000" w:rsidRPr="00000000" w14:paraId="0000003C">
      <w:pPr>
        <w:rPr/>
      </w:pPr>
      <w:r w:rsidDel="00000000" w:rsidR="00000000" w:rsidRPr="00000000">
        <w:rPr>
          <w:rtl w:val="0"/>
        </w:rPr>
        <w:t xml:space="preserve">Non-trainable params: 0</w:t>
      </w:r>
    </w:p>
    <w:p w:rsidR="00000000" w:rsidDel="00000000" w:rsidP="00000000" w:rsidRDefault="00000000" w:rsidRPr="00000000" w14:paraId="0000003D">
      <w:pPr>
        <w:rPr/>
      </w:pPr>
      <w:r w:rsidDel="00000000" w:rsidR="00000000" w:rsidRPr="00000000">
        <w:rPr>
          <w:rtl w:val="0"/>
        </w:rPr>
        <w:t xml:space="preserve">_________________________________________________________________</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u w:val="single"/>
          <w:rtl w:val="0"/>
        </w:rPr>
        <w:t xml:space="preserve">MODEL B TRAINING</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We tested on all data up to 5/7. Since this took a long time to train, we only trained this once.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MODEL B Architecture: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Layer (type)                 Output Shape              Param #   </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lstm_1 (LSTM)                (None, 100, 50)           11200     </w:t>
      </w:r>
    </w:p>
    <w:p w:rsidR="00000000" w:rsidDel="00000000" w:rsidP="00000000" w:rsidRDefault="00000000" w:rsidRPr="00000000" w14:paraId="00000049">
      <w:pPr>
        <w:rPr/>
      </w:pPr>
      <w:r w:rsidDel="00000000" w:rsidR="00000000" w:rsidRPr="00000000">
        <w:rPr>
          <w:rtl w:val="0"/>
        </w:rPr>
        <w:t xml:space="preserve">_________________________________________________________________</w:t>
      </w:r>
    </w:p>
    <w:p w:rsidR="00000000" w:rsidDel="00000000" w:rsidP="00000000" w:rsidRDefault="00000000" w:rsidRPr="00000000" w14:paraId="0000004A">
      <w:pPr>
        <w:rPr/>
      </w:pPr>
      <w:r w:rsidDel="00000000" w:rsidR="00000000" w:rsidRPr="00000000">
        <w:rPr>
          <w:rtl w:val="0"/>
        </w:rPr>
        <w:t xml:space="preserve">lstm_2 (LSTM)                (None, 100, 50)           20200     </w:t>
      </w:r>
    </w:p>
    <w:p w:rsidR="00000000" w:rsidDel="00000000" w:rsidP="00000000" w:rsidRDefault="00000000" w:rsidRPr="00000000" w14:paraId="0000004B">
      <w:pPr>
        <w:rPr/>
      </w:pPr>
      <w:r w:rsidDel="00000000" w:rsidR="00000000" w:rsidRPr="00000000">
        <w:rPr>
          <w:rtl w:val="0"/>
        </w:rPr>
        <w:t xml:space="preserve">_________________________________________________________________</w:t>
      </w:r>
    </w:p>
    <w:p w:rsidR="00000000" w:rsidDel="00000000" w:rsidP="00000000" w:rsidRDefault="00000000" w:rsidRPr="00000000" w14:paraId="0000004C">
      <w:pPr>
        <w:rPr/>
      </w:pPr>
      <w:r w:rsidDel="00000000" w:rsidR="00000000" w:rsidRPr="00000000">
        <w:rPr>
          <w:rtl w:val="0"/>
        </w:rPr>
        <w:t xml:space="preserve">lstm_3 (LSTM)                (None, 100, 50)           20200     </w:t>
      </w:r>
    </w:p>
    <w:p w:rsidR="00000000" w:rsidDel="00000000" w:rsidP="00000000" w:rsidRDefault="00000000" w:rsidRPr="00000000" w14:paraId="0000004D">
      <w:pPr>
        <w:rPr/>
      </w:pPr>
      <w:r w:rsidDel="00000000" w:rsidR="00000000" w:rsidRPr="00000000">
        <w:rPr>
          <w:rtl w:val="0"/>
        </w:rPr>
        <w:t xml:space="preserve">_________________________________________________________________</w:t>
      </w:r>
    </w:p>
    <w:p w:rsidR="00000000" w:rsidDel="00000000" w:rsidP="00000000" w:rsidRDefault="00000000" w:rsidRPr="00000000" w14:paraId="0000004E">
      <w:pPr>
        <w:rPr/>
      </w:pPr>
      <w:r w:rsidDel="00000000" w:rsidR="00000000" w:rsidRPr="00000000">
        <w:rPr>
          <w:rtl w:val="0"/>
        </w:rPr>
        <w:t xml:space="preserve">lstm_4 (LSTM)                (None, 50)                20200     </w:t>
      </w:r>
    </w:p>
    <w:p w:rsidR="00000000" w:rsidDel="00000000" w:rsidP="00000000" w:rsidRDefault="00000000" w:rsidRPr="00000000" w14:paraId="0000004F">
      <w:pPr>
        <w:rPr/>
      </w:pPr>
      <w:r w:rsidDel="00000000" w:rsidR="00000000" w:rsidRPr="00000000">
        <w:rPr>
          <w:rtl w:val="0"/>
        </w:rPr>
        <w:t xml:space="preserve">_________________________________________________________________</w:t>
      </w:r>
    </w:p>
    <w:p w:rsidR="00000000" w:rsidDel="00000000" w:rsidP="00000000" w:rsidRDefault="00000000" w:rsidRPr="00000000" w14:paraId="00000050">
      <w:pPr>
        <w:rPr/>
      </w:pPr>
      <w:r w:rsidDel="00000000" w:rsidR="00000000" w:rsidRPr="00000000">
        <w:rPr>
          <w:rtl w:val="0"/>
        </w:rPr>
        <w:t xml:space="preserve">dense_1 (Dense)              (None, 5)                 255       </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Total params: 72,055</w:t>
      </w:r>
    </w:p>
    <w:p w:rsidR="00000000" w:rsidDel="00000000" w:rsidP="00000000" w:rsidRDefault="00000000" w:rsidRPr="00000000" w14:paraId="00000053">
      <w:pPr>
        <w:rPr/>
      </w:pPr>
      <w:r w:rsidDel="00000000" w:rsidR="00000000" w:rsidRPr="00000000">
        <w:rPr>
          <w:rtl w:val="0"/>
        </w:rPr>
        <w:t xml:space="preserve">Trainable params: 72,055</w:t>
      </w:r>
    </w:p>
    <w:p w:rsidR="00000000" w:rsidDel="00000000" w:rsidP="00000000" w:rsidRDefault="00000000" w:rsidRPr="00000000" w14:paraId="00000054">
      <w:pPr>
        <w:rPr/>
      </w:pPr>
      <w:r w:rsidDel="00000000" w:rsidR="00000000" w:rsidRPr="00000000">
        <w:rPr>
          <w:rtl w:val="0"/>
        </w:rPr>
        <w:t xml:space="preserve">Non-trainable params: 0</w:t>
      </w:r>
    </w:p>
    <w:p w:rsidR="00000000" w:rsidDel="00000000" w:rsidP="00000000" w:rsidRDefault="00000000" w:rsidRPr="00000000" w14:paraId="00000055">
      <w:pPr>
        <w:rPr/>
      </w:pPr>
      <w:r w:rsidDel="00000000" w:rsidR="00000000" w:rsidRPr="00000000">
        <w:rPr>
          <w:rtl w:val="0"/>
        </w:rPr>
        <w:t xml:space="preserve">_________________________________________________________________</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0" w:firstLine="0"/>
        <w:rPr>
          <w:b w:val="1"/>
          <w:sz w:val="28"/>
          <w:szCs w:val="28"/>
        </w:rPr>
      </w:pPr>
      <w:r w:rsidDel="00000000" w:rsidR="00000000" w:rsidRPr="00000000">
        <w:rPr>
          <w:b w:val="1"/>
          <w:sz w:val="28"/>
          <w:szCs w:val="28"/>
          <w:rtl w:val="0"/>
        </w:rPr>
        <w:t xml:space="preserve">3) Raw Output of Actual vs Model Prices</w:t>
      </w:r>
    </w:p>
    <w:p w:rsidR="00000000" w:rsidDel="00000000" w:rsidP="00000000" w:rsidRDefault="00000000" w:rsidRPr="00000000" w14:paraId="00000059">
      <w:pPr>
        <w:ind w:left="0" w:firstLine="0"/>
        <w:rPr>
          <w:b w:val="1"/>
          <w:sz w:val="28"/>
          <w:szCs w:val="28"/>
        </w:rPr>
      </w:pPr>
      <w:r w:rsidDel="00000000" w:rsidR="00000000" w:rsidRPr="00000000">
        <w:rPr>
          <w:rtl w:val="0"/>
        </w:rPr>
      </w:r>
    </w:p>
    <w:p w:rsidR="00000000" w:rsidDel="00000000" w:rsidP="00000000" w:rsidRDefault="00000000" w:rsidRPr="00000000" w14:paraId="0000005A">
      <w:pPr>
        <w:rPr>
          <w:sz w:val="21"/>
          <w:szCs w:val="21"/>
          <w:highlight w:val="white"/>
        </w:rPr>
      </w:pPr>
      <w:r w:rsidDel="00000000" w:rsidR="00000000" w:rsidRPr="00000000">
        <w:rPr>
          <w:rtl w:val="0"/>
        </w:rPr>
      </w:r>
    </w:p>
    <w:p w:rsidR="00000000" w:rsidDel="00000000" w:rsidP="00000000" w:rsidRDefault="00000000" w:rsidRPr="00000000" w14:paraId="0000005B">
      <w:pPr>
        <w:widowControl w:val="0"/>
        <w:rPr>
          <w:sz w:val="21"/>
          <w:szCs w:val="21"/>
          <w:highlight w:val="white"/>
        </w:rPr>
      </w:pPr>
      <w:r w:rsidDel="00000000" w:rsidR="00000000" w:rsidRPr="00000000">
        <w:rPr>
          <w:rtl w:val="0"/>
        </w:rPr>
        <w:t xml:space="preserve">ACTUAL</w:t>
      </w:r>
      <w:r w:rsidDel="00000000" w:rsidR="00000000" w:rsidRPr="00000000">
        <w:rPr>
          <w:rtl w:val="0"/>
        </w:rPr>
      </w:r>
    </w:p>
    <w:tbl>
      <w:tblPr>
        <w:tblStyle w:val="Table1"/>
        <w:tblW w:w="58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0"/>
        <w:gridCol w:w="1160"/>
        <w:gridCol w:w="1160"/>
        <w:gridCol w:w="1160"/>
        <w:gridCol w:w="1160"/>
        <w:tblGridChange w:id="0">
          <w:tblGrid>
            <w:gridCol w:w="1160"/>
            <w:gridCol w:w="1160"/>
            <w:gridCol w:w="1160"/>
            <w:gridCol w:w="1160"/>
            <w:gridCol w:w="1160"/>
          </w:tblGrid>
        </w:tblGridChange>
      </w:tblGrid>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pPr>
            <w:r w:rsidDel="00000000" w:rsidR="00000000" w:rsidRPr="00000000">
              <w:rPr>
                <w:rtl w:val="0"/>
              </w:rPr>
              <w:t xml:space="preserve">Open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pPr>
            <w:r w:rsidDel="00000000" w:rsidR="00000000" w:rsidRPr="00000000">
              <w:rPr>
                <w:rtl w:val="0"/>
              </w:rPr>
              <w:t xml:space="preserve">Close</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widowControl w:val="0"/>
              <w:rPr>
                <w:sz w:val="21"/>
                <w:szCs w:val="21"/>
                <w:highlight w:val="white"/>
              </w:rPr>
            </w:pPr>
            <w:r w:rsidDel="00000000" w:rsidR="00000000" w:rsidRPr="00000000">
              <w:rPr>
                <w:sz w:val="21"/>
                <w:szCs w:val="21"/>
                <w:highlight w:val="white"/>
                <w:rtl w:val="0"/>
              </w:rPr>
              <w:t xml:space="preserve">287.53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widowControl w:val="0"/>
              <w:rPr>
                <w:sz w:val="21"/>
                <w:szCs w:val="21"/>
                <w:highlight w:val="white"/>
              </w:rPr>
            </w:pPr>
            <w:r w:rsidDel="00000000" w:rsidR="00000000" w:rsidRPr="00000000">
              <w:rPr>
                <w:sz w:val="21"/>
                <w:szCs w:val="21"/>
                <w:highlight w:val="white"/>
                <w:rtl w:val="0"/>
              </w:rPr>
              <w:t xml:space="preserve">289.43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widowControl w:val="0"/>
              <w:rPr>
                <w:sz w:val="21"/>
                <w:szCs w:val="21"/>
                <w:highlight w:val="white"/>
              </w:rPr>
            </w:pPr>
            <w:r w:rsidDel="00000000" w:rsidR="00000000" w:rsidRPr="00000000">
              <w:rPr>
                <w:sz w:val="21"/>
                <w:szCs w:val="21"/>
                <w:highlight w:val="white"/>
                <w:rtl w:val="0"/>
              </w:rPr>
              <w:t xml:space="preserve">286.87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widowControl w:val="0"/>
              <w:rPr>
                <w:sz w:val="21"/>
                <w:szCs w:val="21"/>
                <w:highlight w:val="white"/>
              </w:rPr>
            </w:pPr>
            <w:r w:rsidDel="00000000" w:rsidR="00000000" w:rsidRPr="00000000">
              <w:rPr>
                <w:sz w:val="21"/>
                <w:szCs w:val="21"/>
                <w:highlight w:val="white"/>
                <w:rtl w:val="0"/>
              </w:rPr>
              <w:t xml:space="preserve">287.53</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widowControl w:val="0"/>
              <w:rPr>
                <w:sz w:val="21"/>
                <w:szCs w:val="21"/>
                <w:highlight w:val="white"/>
              </w:rPr>
            </w:pPr>
            <w:r w:rsidDel="00000000" w:rsidR="00000000" w:rsidRPr="00000000">
              <w:rPr>
                <w:sz w:val="21"/>
                <w:szCs w:val="21"/>
                <w:highlight w:val="white"/>
                <w:rtl w:val="0"/>
              </w:rPr>
              <w:t xml:space="preserve">285.23</w:t>
            </w:r>
          </w:p>
        </w:tc>
        <w:tc>
          <w:tcPr>
            <w:tcMar>
              <w:top w:w="100.0" w:type="dxa"/>
              <w:left w:w="100.0" w:type="dxa"/>
              <w:bottom w:w="100.0" w:type="dxa"/>
              <w:right w:w="100.0" w:type="dxa"/>
            </w:tcMar>
            <w:vAlign w:val="top"/>
          </w:tcPr>
          <w:p w:rsidR="00000000" w:rsidDel="00000000" w:rsidP="00000000" w:rsidRDefault="00000000" w:rsidRPr="00000000" w14:paraId="00000068">
            <w:pPr>
              <w:widowControl w:val="0"/>
              <w:rPr>
                <w:sz w:val="21"/>
                <w:szCs w:val="21"/>
                <w:highlight w:val="white"/>
              </w:rPr>
            </w:pPr>
            <w:r w:rsidDel="00000000" w:rsidR="00000000" w:rsidRPr="00000000">
              <w:rPr>
                <w:sz w:val="21"/>
                <w:szCs w:val="21"/>
                <w:highlight w:val="white"/>
                <w:rtl w:val="0"/>
              </w:rPr>
              <w:t xml:space="preserve">287.33</w:t>
            </w:r>
          </w:p>
        </w:tc>
        <w:tc>
          <w:tcPr>
            <w:tcMar>
              <w:top w:w="100.0" w:type="dxa"/>
              <w:left w:w="100.0" w:type="dxa"/>
              <w:bottom w:w="100.0" w:type="dxa"/>
              <w:right w:w="100.0" w:type="dxa"/>
            </w:tcMar>
            <w:vAlign w:val="top"/>
          </w:tcPr>
          <w:p w:rsidR="00000000" w:rsidDel="00000000" w:rsidP="00000000" w:rsidRDefault="00000000" w:rsidRPr="00000000" w14:paraId="00000069">
            <w:pPr>
              <w:widowControl w:val="0"/>
              <w:rPr>
                <w:sz w:val="21"/>
                <w:szCs w:val="21"/>
                <w:highlight w:val="white"/>
              </w:rPr>
            </w:pPr>
            <w:r w:rsidDel="00000000" w:rsidR="00000000" w:rsidRPr="00000000">
              <w:rPr>
                <w:sz w:val="21"/>
                <w:szCs w:val="21"/>
                <w:highlight w:val="white"/>
                <w:rtl w:val="0"/>
              </w:rPr>
              <w:t xml:space="preserve">283.3</w:t>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rPr>
                <w:sz w:val="21"/>
                <w:szCs w:val="21"/>
                <w:highlight w:val="white"/>
              </w:rPr>
            </w:pPr>
            <w:r w:rsidDel="00000000" w:rsidR="00000000" w:rsidRPr="00000000">
              <w:rPr>
                <w:sz w:val="21"/>
                <w:szCs w:val="21"/>
                <w:highlight w:val="white"/>
                <w:rtl w:val="0"/>
              </w:rPr>
              <w:t xml:space="preserve">286.66</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5/10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widowControl w:val="0"/>
              <w:rPr>
                <w:sz w:val="21"/>
                <w:szCs w:val="21"/>
                <w:highlight w:val="white"/>
              </w:rPr>
            </w:pPr>
            <w:r w:rsidDel="00000000" w:rsidR="00000000" w:rsidRPr="00000000">
              <w:rPr>
                <w:sz w:val="21"/>
                <w:szCs w:val="21"/>
                <w:highlight w:val="white"/>
                <w:rtl w:val="0"/>
              </w:rPr>
              <w:t xml:space="preserve">285.62</w:t>
            </w:r>
          </w:p>
        </w:tc>
        <w:tc>
          <w:tcPr>
            <w:tcMar>
              <w:top w:w="100.0" w:type="dxa"/>
              <w:left w:w="100.0" w:type="dxa"/>
              <w:bottom w:w="100.0" w:type="dxa"/>
              <w:right w:w="100.0" w:type="dxa"/>
            </w:tcMar>
            <w:vAlign w:val="top"/>
          </w:tcPr>
          <w:p w:rsidR="00000000" w:rsidDel="00000000" w:rsidP="00000000" w:rsidRDefault="00000000" w:rsidRPr="00000000" w14:paraId="0000006D">
            <w:pPr>
              <w:widowControl w:val="0"/>
              <w:rPr>
                <w:sz w:val="21"/>
                <w:szCs w:val="21"/>
                <w:highlight w:val="white"/>
              </w:rPr>
            </w:pPr>
            <w:r w:rsidDel="00000000" w:rsidR="00000000" w:rsidRPr="00000000">
              <w:rPr>
                <w:sz w:val="21"/>
                <w:szCs w:val="21"/>
                <w:highlight w:val="white"/>
                <w:rtl w:val="0"/>
              </w:rPr>
              <w:t xml:space="preserve">288.94</w:t>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rPr>
                <w:sz w:val="21"/>
                <w:szCs w:val="21"/>
                <w:highlight w:val="white"/>
              </w:rPr>
            </w:pPr>
            <w:r w:rsidDel="00000000" w:rsidR="00000000" w:rsidRPr="00000000">
              <w:rPr>
                <w:sz w:val="21"/>
                <w:szCs w:val="21"/>
                <w:highlight w:val="white"/>
                <w:rtl w:val="0"/>
              </w:rPr>
              <w:t xml:space="preserve">282.3</w:t>
            </w:r>
          </w:p>
        </w:tc>
        <w:tc>
          <w:tcPr>
            <w:tcMar>
              <w:top w:w="100.0" w:type="dxa"/>
              <w:left w:w="100.0" w:type="dxa"/>
              <w:bottom w:w="100.0" w:type="dxa"/>
              <w:right w:w="100.0" w:type="dxa"/>
            </w:tcMar>
            <w:vAlign w:val="top"/>
          </w:tcPr>
          <w:p w:rsidR="00000000" w:rsidDel="00000000" w:rsidP="00000000" w:rsidRDefault="00000000" w:rsidRPr="00000000" w14:paraId="0000006F">
            <w:pPr>
              <w:widowControl w:val="0"/>
              <w:rPr>
                <w:sz w:val="21"/>
                <w:szCs w:val="21"/>
                <w:highlight w:val="white"/>
              </w:rPr>
            </w:pPr>
            <w:r w:rsidDel="00000000" w:rsidR="00000000" w:rsidRPr="00000000">
              <w:rPr>
                <w:sz w:val="21"/>
                <w:szCs w:val="21"/>
                <w:highlight w:val="white"/>
                <w:rtl w:val="0"/>
              </w:rPr>
              <w:t xml:space="preserve">288.1</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5/13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widowControl w:val="0"/>
              <w:rPr>
                <w:sz w:val="21"/>
                <w:szCs w:val="21"/>
                <w:highlight w:val="white"/>
              </w:rPr>
            </w:pPr>
            <w:r w:rsidDel="00000000" w:rsidR="00000000" w:rsidRPr="00000000">
              <w:rPr>
                <w:sz w:val="21"/>
                <w:szCs w:val="21"/>
                <w:highlight w:val="white"/>
                <w:rtl w:val="0"/>
              </w:rPr>
              <w:t xml:space="preserve">282.42</w:t>
            </w:r>
          </w:p>
        </w:tc>
        <w:tc>
          <w:tcPr>
            <w:tcMar>
              <w:top w:w="100.0" w:type="dxa"/>
              <w:left w:w="100.0" w:type="dxa"/>
              <w:bottom w:w="100.0" w:type="dxa"/>
              <w:right w:w="100.0" w:type="dxa"/>
            </w:tcMar>
            <w:vAlign w:val="top"/>
          </w:tcPr>
          <w:p w:rsidR="00000000" w:rsidDel="00000000" w:rsidP="00000000" w:rsidRDefault="00000000" w:rsidRPr="00000000" w14:paraId="00000072">
            <w:pPr>
              <w:widowControl w:val="0"/>
              <w:rPr>
                <w:sz w:val="21"/>
                <w:szCs w:val="21"/>
                <w:highlight w:val="white"/>
              </w:rPr>
            </w:pPr>
            <w:r w:rsidDel="00000000" w:rsidR="00000000" w:rsidRPr="00000000">
              <w:rPr>
                <w:sz w:val="21"/>
                <w:szCs w:val="21"/>
                <w:highlight w:val="white"/>
                <w:rtl w:val="0"/>
              </w:rPr>
              <w:t xml:space="preserve">283.49</w:t>
            </w:r>
          </w:p>
        </w:tc>
        <w:tc>
          <w:tcPr>
            <w:tcMar>
              <w:top w:w="100.0" w:type="dxa"/>
              <w:left w:w="100.0" w:type="dxa"/>
              <w:bottom w:w="100.0" w:type="dxa"/>
              <w:right w:w="100.0" w:type="dxa"/>
            </w:tcMar>
            <w:vAlign w:val="top"/>
          </w:tcPr>
          <w:p w:rsidR="00000000" w:rsidDel="00000000" w:rsidP="00000000" w:rsidRDefault="00000000" w:rsidRPr="00000000" w14:paraId="00000073">
            <w:pPr>
              <w:widowControl w:val="0"/>
              <w:rPr>
                <w:sz w:val="21"/>
                <w:szCs w:val="21"/>
                <w:highlight w:val="white"/>
              </w:rPr>
            </w:pPr>
            <w:r w:rsidDel="00000000" w:rsidR="00000000" w:rsidRPr="00000000">
              <w:rPr>
                <w:sz w:val="21"/>
                <w:szCs w:val="21"/>
                <w:highlight w:val="white"/>
                <w:rtl w:val="0"/>
              </w:rPr>
              <w:t xml:space="preserve">279.93</w:t>
            </w:r>
          </w:p>
        </w:tc>
        <w:tc>
          <w:tcPr>
            <w:tcMar>
              <w:top w:w="100.0" w:type="dxa"/>
              <w:left w:w="100.0" w:type="dxa"/>
              <w:bottom w:w="100.0" w:type="dxa"/>
              <w:right w:w="100.0" w:type="dxa"/>
            </w:tcMar>
            <w:vAlign w:val="top"/>
          </w:tcPr>
          <w:p w:rsidR="00000000" w:rsidDel="00000000" w:rsidP="00000000" w:rsidRDefault="00000000" w:rsidRPr="00000000" w14:paraId="00000074">
            <w:pPr>
              <w:widowControl w:val="0"/>
              <w:rPr>
                <w:sz w:val="21"/>
                <w:szCs w:val="21"/>
                <w:highlight w:val="white"/>
              </w:rPr>
            </w:pPr>
            <w:r w:rsidDel="00000000" w:rsidR="00000000" w:rsidRPr="00000000">
              <w:rPr>
                <w:sz w:val="21"/>
                <w:szCs w:val="21"/>
                <w:highlight w:val="white"/>
                <w:rtl w:val="0"/>
              </w:rPr>
              <w:t xml:space="preserve">280.86</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5/14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widowControl w:val="0"/>
              <w:rPr>
                <w:sz w:val="21"/>
                <w:szCs w:val="21"/>
                <w:highlight w:val="white"/>
              </w:rPr>
            </w:pPr>
            <w:r w:rsidDel="00000000" w:rsidR="00000000" w:rsidRPr="00000000">
              <w:rPr>
                <w:sz w:val="21"/>
                <w:szCs w:val="21"/>
                <w:highlight w:val="white"/>
                <w:rtl w:val="0"/>
              </w:rPr>
              <w:t xml:space="preserve">281.99</w:t>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rPr>
                <w:sz w:val="21"/>
                <w:szCs w:val="21"/>
                <w:highlight w:val="white"/>
              </w:rPr>
            </w:pPr>
            <w:r w:rsidDel="00000000" w:rsidR="00000000" w:rsidRPr="00000000">
              <w:rPr>
                <w:sz w:val="21"/>
                <w:szCs w:val="21"/>
                <w:highlight w:val="white"/>
                <w:rtl w:val="0"/>
              </w:rPr>
              <w:t xml:space="preserve">285.1</w:t>
            </w:r>
          </w:p>
        </w:tc>
        <w:tc>
          <w:tcPr>
            <w:tcMar>
              <w:top w:w="100.0" w:type="dxa"/>
              <w:left w:w="100.0" w:type="dxa"/>
              <w:bottom w:w="100.0" w:type="dxa"/>
              <w:right w:w="100.0" w:type="dxa"/>
            </w:tcMar>
            <w:vAlign w:val="top"/>
          </w:tcPr>
          <w:p w:rsidR="00000000" w:rsidDel="00000000" w:rsidP="00000000" w:rsidRDefault="00000000" w:rsidRPr="00000000" w14:paraId="00000078">
            <w:pPr>
              <w:widowControl w:val="0"/>
              <w:rPr>
                <w:sz w:val="21"/>
                <w:szCs w:val="21"/>
                <w:highlight w:val="white"/>
              </w:rPr>
            </w:pPr>
            <w:r w:rsidDel="00000000" w:rsidR="00000000" w:rsidRPr="00000000">
              <w:rPr>
                <w:sz w:val="21"/>
                <w:szCs w:val="21"/>
                <w:highlight w:val="white"/>
                <w:rtl w:val="0"/>
              </w:rPr>
              <w:t xml:space="preserve">281.85</w:t>
            </w:r>
          </w:p>
        </w:tc>
        <w:tc>
          <w:tcPr>
            <w:tcMar>
              <w:top w:w="100.0" w:type="dxa"/>
              <w:left w:w="100.0" w:type="dxa"/>
              <w:bottom w:w="100.0" w:type="dxa"/>
              <w:right w:w="100.0" w:type="dxa"/>
            </w:tcMar>
            <w:vAlign w:val="top"/>
          </w:tcPr>
          <w:p w:rsidR="00000000" w:rsidDel="00000000" w:rsidP="00000000" w:rsidRDefault="00000000" w:rsidRPr="00000000" w14:paraId="00000079">
            <w:pPr>
              <w:widowControl w:val="0"/>
              <w:rPr>
                <w:sz w:val="21"/>
                <w:szCs w:val="21"/>
                <w:highlight w:val="white"/>
              </w:rPr>
            </w:pPr>
            <w:r w:rsidDel="00000000" w:rsidR="00000000" w:rsidRPr="00000000">
              <w:rPr>
                <w:sz w:val="21"/>
                <w:szCs w:val="21"/>
                <w:highlight w:val="white"/>
                <w:rtl w:val="0"/>
              </w:rPr>
              <w:t xml:space="preserve">283.4</w:t>
            </w:r>
          </w:p>
        </w:tc>
      </w:tr>
    </w:tbl>
    <w:p w:rsidR="00000000" w:rsidDel="00000000" w:rsidP="00000000" w:rsidRDefault="00000000" w:rsidRPr="00000000" w14:paraId="0000007A">
      <w:pPr>
        <w:rPr>
          <w:sz w:val="21"/>
          <w:szCs w:val="21"/>
          <w:highlight w:val="white"/>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left="720" w:firstLine="720"/>
        <w:rPr/>
      </w:pPr>
      <w:r w:rsidDel="00000000" w:rsidR="00000000" w:rsidRPr="00000000">
        <w:rPr>
          <w:rtl w:val="0"/>
        </w:rPr>
        <w:t xml:space="preserve">RESULTS A</w:t>
      </w:r>
      <w:r w:rsidDel="00000000" w:rsidR="00000000" w:rsidRPr="00000000">
        <w:rPr>
          <w:rtl w:val="0"/>
        </w:rPr>
      </w:r>
    </w:p>
    <w:tbl>
      <w:tblPr>
        <w:tblStyle w:val="Table2"/>
        <w:tblW w:w="58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0"/>
        <w:gridCol w:w="1160"/>
        <w:gridCol w:w="1160"/>
        <w:gridCol w:w="1160"/>
        <w:gridCol w:w="1160"/>
        <w:tblGridChange w:id="0">
          <w:tblGrid>
            <w:gridCol w:w="1160"/>
            <w:gridCol w:w="1160"/>
            <w:gridCol w:w="1160"/>
            <w:gridCol w:w="1160"/>
            <w:gridCol w:w="1160"/>
          </w:tblGrid>
        </w:tblGridChange>
      </w:tblGrid>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Open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Close</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5/8</w:t>
            </w:r>
          </w:p>
        </w:tc>
        <w:tc>
          <w:tcP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290.04</w:t>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293.25</w:t>
            </w:r>
          </w:p>
        </w:tc>
        <w:tc>
          <w:tcP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285.62</w:t>
            </w:r>
          </w:p>
        </w:tc>
        <w:tc>
          <w:tcP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295.36</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5/9</w:t>
            </w:r>
          </w:p>
        </w:tc>
        <w:tc>
          <w:tcP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288.36</w:t>
            </w:r>
          </w:p>
        </w:tc>
        <w:tc>
          <w:tcP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290.22</w:t>
            </w:r>
          </w:p>
        </w:tc>
        <w:tc>
          <w:tcP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287.09</w:t>
            </w:r>
          </w:p>
        </w:tc>
        <w:tc>
          <w:tcP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292.02</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5/10</w:t>
            </w:r>
          </w:p>
        </w:tc>
        <w:tc>
          <w:tcP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288</w:t>
            </w:r>
          </w:p>
        </w:tc>
        <w:tc>
          <w:tcP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289.3</w:t>
            </w:r>
          </w:p>
        </w:tc>
        <w:tc>
          <w:tcP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283.45</w:t>
            </w:r>
          </w:p>
        </w:tc>
        <w:tc>
          <w:tcP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290.52</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5/13</w:t>
            </w:r>
          </w:p>
        </w:tc>
        <w:tc>
          <w:tcP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286.03</w:t>
            </w:r>
          </w:p>
        </w:tc>
        <w:tc>
          <w:tcP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289.39</w:t>
            </w:r>
          </w:p>
        </w:tc>
        <w:tc>
          <w:tcP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281.72</w:t>
            </w:r>
          </w:p>
        </w:tc>
        <w:tc>
          <w:tcP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291.15</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5/14</w:t>
            </w:r>
          </w:p>
        </w:tc>
        <w:tc>
          <w:tcP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288.27</w:t>
            </w:r>
          </w:p>
        </w:tc>
        <w:tc>
          <w:tcP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287.37</w:t>
            </w:r>
          </w:p>
        </w:tc>
        <w:tc>
          <w:tcP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279.74</w:t>
            </w:r>
          </w:p>
        </w:tc>
        <w:tc>
          <w:tcP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289.2</w:t>
            </w:r>
          </w:p>
        </w:tc>
      </w:tr>
    </w:tbl>
    <w:p w:rsidR="00000000" w:rsidDel="00000000" w:rsidP="00000000" w:rsidRDefault="00000000" w:rsidRPr="00000000" w14:paraId="0000009E">
      <w:pPr>
        <w:rPr/>
      </w:pPr>
      <w:r w:rsidDel="00000000" w:rsidR="00000000" w:rsidRPr="00000000">
        <w:rPr>
          <w:rtl w:val="0"/>
        </w:rPr>
      </w:r>
    </w:p>
    <w:tbl>
      <w:tblPr>
        <w:tblStyle w:val="Table3"/>
        <w:tblW w:w="58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0"/>
        <w:gridCol w:w="1160"/>
        <w:gridCol w:w="1160"/>
        <w:gridCol w:w="1160"/>
        <w:gridCol w:w="1160"/>
        <w:tblGridChange w:id="0">
          <w:tblGrid>
            <w:gridCol w:w="1160"/>
            <w:gridCol w:w="1160"/>
            <w:gridCol w:w="1160"/>
            <w:gridCol w:w="1160"/>
            <w:gridCol w:w="1160"/>
          </w:tblGrid>
        </w:tblGridChange>
      </w:tblGrid>
      <w:tr>
        <w:trPr>
          <w:trHeight w:val="480" w:hRule="atLeast"/>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pPr>
            <w:r w:rsidDel="00000000" w:rsidR="00000000" w:rsidRPr="00000000">
              <w:rPr>
                <w:rtl w:val="0"/>
              </w:rPr>
              <w:t xml:space="preserve">RESULTS B</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Open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Close</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5/8</w:t>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286.47</w:t>
            </w:r>
          </w:p>
        </w:tc>
        <w:tc>
          <w:tcP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289.69</w:t>
            </w:r>
          </w:p>
        </w:tc>
        <w:tc>
          <w:tcP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283.92</w:t>
            </w:r>
          </w:p>
        </w:tc>
        <w:tc>
          <w:tcP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286.01</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5/9</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286.83</w:t>
            </w:r>
          </w:p>
        </w:tc>
        <w:tc>
          <w:tcP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290.04</w:t>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284.85</w:t>
            </w:r>
          </w:p>
        </w:tc>
        <w:tc>
          <w:tcP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286.92</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5/10</w:t>
            </w:r>
          </w:p>
        </w:tc>
        <w:tc>
          <w:tcP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285.61</w:t>
            </w:r>
          </w:p>
        </w:tc>
        <w:tc>
          <w:tcP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288.83</w:t>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283.23</w:t>
            </w:r>
          </w:p>
        </w:tc>
        <w:tc>
          <w:tcP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285.4</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5/13</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286.02</w:t>
            </w:r>
          </w:p>
        </w:tc>
        <w:tc>
          <w:tcP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289.26</w:t>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283.94</w:t>
            </w:r>
          </w:p>
        </w:tc>
        <w:tc>
          <w:tcP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286.05</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5/14</w:t>
            </w:r>
          </w:p>
        </w:tc>
        <w:tc>
          <w:tcP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279.98</w:t>
            </w:r>
          </w:p>
        </w:tc>
        <w:tc>
          <w:tcP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283.69</w:t>
            </w:r>
          </w:p>
        </w:tc>
        <w:tc>
          <w:tcP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276.8</w:t>
            </w:r>
          </w:p>
        </w:tc>
        <w:tc>
          <w:tcP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279.47</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sz w:val="28"/>
          <w:szCs w:val="28"/>
          <w:rtl w:val="0"/>
        </w:rPr>
        <w:t xml:space="preserve">4) Evaluation of Actual vs Model Prices</w:t>
      </w:r>
      <w:r w:rsidDel="00000000" w:rsidR="00000000" w:rsidRPr="00000000">
        <w:rPr>
          <w:rtl w:val="0"/>
        </w:rPr>
      </w:r>
    </w:p>
    <w:p w:rsidR="00000000" w:rsidDel="00000000" w:rsidP="00000000" w:rsidRDefault="00000000" w:rsidRPr="00000000" w14:paraId="000000C5">
      <w:pPr>
        <w:rPr/>
      </w:pPr>
      <w:r w:rsidDel="00000000" w:rsidR="00000000" w:rsidRPr="00000000">
        <w:rPr/>
        <w:drawing>
          <wp:inline distB="114300" distT="114300" distL="114300" distR="114300">
            <wp:extent cx="4743450" cy="25146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434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highlight w:val="white"/>
        </w:rPr>
      </w:pPr>
      <w:r w:rsidDel="00000000" w:rsidR="00000000" w:rsidRPr="00000000">
        <w:rPr>
          <w:highlight w:val="white"/>
          <w:rtl w:val="0"/>
        </w:rPr>
        <w:t xml:space="preserve">5-output (blue) RMSE for Open:  1.96</w:t>
      </w:r>
    </w:p>
    <w:p w:rsidR="00000000" w:rsidDel="00000000" w:rsidP="00000000" w:rsidRDefault="00000000" w:rsidRPr="00000000" w14:paraId="000000C7">
      <w:pPr>
        <w:rPr>
          <w:highlight w:val="white"/>
        </w:rPr>
      </w:pPr>
      <w:r w:rsidDel="00000000" w:rsidR="00000000" w:rsidRPr="00000000">
        <w:rPr>
          <w:highlight w:val="white"/>
          <w:rtl w:val="0"/>
        </w:rPr>
        <w:t xml:space="preserve">1-output (green) RMSE Open:  3.47</w:t>
      </w:r>
    </w:p>
    <w:p w:rsidR="00000000" w:rsidDel="00000000" w:rsidP="00000000" w:rsidRDefault="00000000" w:rsidRPr="00000000" w14:paraId="000000C8">
      <w:pPr>
        <w:rPr>
          <w:sz w:val="21"/>
          <w:szCs w:val="21"/>
          <w:highlight w:val="white"/>
        </w:rPr>
      </w:pPr>
      <w:r w:rsidDel="00000000" w:rsidR="00000000" w:rsidRPr="00000000">
        <w:rPr>
          <w:sz w:val="21"/>
          <w:szCs w:val="21"/>
          <w:highlight w:val="white"/>
        </w:rPr>
        <w:drawing>
          <wp:inline distB="114300" distT="114300" distL="114300" distR="114300">
            <wp:extent cx="4752975" cy="25146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529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highlight w:val="white"/>
        </w:rPr>
      </w:pPr>
      <w:r w:rsidDel="00000000" w:rsidR="00000000" w:rsidRPr="00000000">
        <w:rPr>
          <w:highlight w:val="white"/>
          <w:rtl w:val="0"/>
        </w:rPr>
        <w:t xml:space="preserve">5-output (blue) RMSE for High:  2.89</w:t>
      </w:r>
    </w:p>
    <w:p w:rsidR="00000000" w:rsidDel="00000000" w:rsidP="00000000" w:rsidRDefault="00000000" w:rsidRPr="00000000" w14:paraId="000000CA">
      <w:pPr>
        <w:rPr/>
      </w:pPr>
      <w:r w:rsidDel="00000000" w:rsidR="00000000" w:rsidRPr="00000000">
        <w:rPr>
          <w:highlight w:val="white"/>
          <w:rtl w:val="0"/>
        </w:rPr>
        <w:t xml:space="preserve">1-output (green) RMSE High:  3.74</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sz w:val="28"/>
          <w:szCs w:val="28"/>
        </w:rPr>
      </w:pPr>
      <w:r w:rsidDel="00000000" w:rsidR="00000000" w:rsidRPr="00000000">
        <w:rPr>
          <w:b w:val="1"/>
          <w:sz w:val="28"/>
          <w:szCs w:val="28"/>
          <w:rtl w:val="0"/>
        </w:rPr>
        <w:t xml:space="preserve">5) Comparing lookback sizes for Model A’s Low + Close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When evaluated on 5/8 to 5/14 data, we found that a model trained with a lookback window of 100 was actually better for Close, but a model trained with a lookback window of 150 was slightly better for Low. Both were trained on the same subset of data with the same model architecture + hyperparameters.</w:t>
      </w:r>
    </w:p>
    <w:p w:rsidR="00000000" w:rsidDel="00000000" w:rsidP="00000000" w:rsidRDefault="00000000" w:rsidRPr="00000000" w14:paraId="000000D1">
      <w:pPr>
        <w:rPr/>
      </w:pPr>
      <w:r w:rsidDel="00000000" w:rsidR="00000000" w:rsidRPr="00000000">
        <w:br w:type="page"/>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highlight w:val="white"/>
        </w:rPr>
      </w:pPr>
      <w:r w:rsidDel="00000000" w:rsidR="00000000" w:rsidRPr="00000000">
        <w:rPr>
          <w:rtl w:val="0"/>
        </w:rPr>
      </w:r>
    </w:p>
    <w:tbl>
      <w:tblPr>
        <w:tblStyle w:val="Table4"/>
        <w:tblW w:w="33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0"/>
        <w:gridCol w:w="995"/>
        <w:gridCol w:w="1160"/>
        <w:tblGridChange w:id="0">
          <w:tblGrid>
            <w:gridCol w:w="1160"/>
            <w:gridCol w:w="995"/>
            <w:gridCol w:w="1160"/>
          </w:tblGrid>
        </w:tblGridChange>
      </w:tblGrid>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150</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8-May</w:t>
            </w:r>
          </w:p>
        </w:tc>
        <w:tc>
          <w:tcP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282.86</w:t>
            </w:r>
          </w:p>
        </w:tc>
        <w:tc>
          <w:tcP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285.62</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9-May</w:t>
            </w:r>
          </w:p>
        </w:tc>
        <w:tc>
          <w:tcP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283.64</w:t>
            </w:r>
          </w:p>
        </w:tc>
        <w:tc>
          <w:tcP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287.09</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10-May</w:t>
            </w:r>
          </w:p>
        </w:tc>
        <w:tc>
          <w:tcP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280.53</w:t>
            </w:r>
          </w:p>
        </w:tc>
        <w:tc>
          <w:tcP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283.45</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13-May</w:t>
            </w:r>
          </w:p>
        </w:tc>
        <w:tc>
          <w:tcP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279.61</w:t>
            </w:r>
          </w:p>
        </w:tc>
        <w:tc>
          <w:tcP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281.72</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14-May</w:t>
            </w:r>
          </w:p>
        </w:tc>
        <w:tc>
          <w:tcP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277.38</w:t>
            </w:r>
          </w:p>
        </w:tc>
        <w:tc>
          <w:tcP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279.74</w:t>
            </w:r>
          </w:p>
        </w:tc>
      </w:tr>
    </w:tbl>
    <w:p w:rsidR="00000000" w:rsidDel="00000000" w:rsidP="00000000" w:rsidRDefault="00000000" w:rsidRPr="00000000" w14:paraId="000000E6">
      <w:pPr>
        <w:rPr/>
      </w:pPr>
      <w:r w:rsidDel="00000000" w:rsidR="00000000" w:rsidRPr="00000000">
        <w:rPr/>
        <w:drawing>
          <wp:inline distB="114300" distT="114300" distL="114300" distR="114300">
            <wp:extent cx="5095875" cy="25146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958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highlight w:val="white"/>
          <w:rtl w:val="0"/>
        </w:rPr>
        <w:t xml:space="preserve">BLUE: 5-output RMSE for Low:  3.14</w:t>
      </w:r>
      <w:r w:rsidDel="00000000" w:rsidR="00000000" w:rsidRPr="00000000">
        <w:rPr>
          <w:rtl w:val="0"/>
        </w:rPr>
      </w:r>
    </w:p>
    <w:p w:rsidR="00000000" w:rsidDel="00000000" w:rsidP="00000000" w:rsidRDefault="00000000" w:rsidRPr="00000000" w14:paraId="000000E8">
      <w:pPr>
        <w:rPr>
          <w:highlight w:val="white"/>
        </w:rPr>
      </w:pPr>
      <w:r w:rsidDel="00000000" w:rsidR="00000000" w:rsidRPr="00000000">
        <w:rPr>
          <w:highlight w:val="white"/>
          <w:rtl w:val="0"/>
        </w:rPr>
        <w:t xml:space="preserve">GREEN: 1-output, Lookback 100, RMSE for Low:  2.81</w:t>
      </w:r>
    </w:p>
    <w:p w:rsidR="00000000" w:rsidDel="00000000" w:rsidP="00000000" w:rsidRDefault="00000000" w:rsidRPr="00000000" w14:paraId="000000E9">
      <w:pPr>
        <w:rPr/>
      </w:pPr>
      <w:r w:rsidDel="00000000" w:rsidR="00000000" w:rsidRPr="00000000">
        <w:rPr>
          <w:highlight w:val="white"/>
          <w:rtl w:val="0"/>
        </w:rPr>
        <w:t xml:space="preserve">YELLOW: 1-output, Lookback 150,  RMSE for Low:  1.69</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br w:type="page"/>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sz w:val="21"/>
          <w:szCs w:val="21"/>
          <w:highlight w:val="white"/>
        </w:rPr>
      </w:pPr>
      <w:r w:rsidDel="00000000" w:rsidR="00000000" w:rsidRPr="00000000">
        <w:rPr>
          <w:rtl w:val="0"/>
        </w:rPr>
      </w:r>
    </w:p>
    <w:tbl>
      <w:tblPr>
        <w:tblStyle w:val="Table5"/>
        <w:tblW w:w="33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0"/>
        <w:gridCol w:w="995"/>
        <w:gridCol w:w="1160"/>
        <w:tblGridChange w:id="0">
          <w:tblGrid>
            <w:gridCol w:w="1160"/>
            <w:gridCol w:w="995"/>
            <w:gridCol w:w="1160"/>
          </w:tblGrid>
        </w:tblGridChange>
      </w:tblGrid>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150</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8-May</w:t>
            </w:r>
          </w:p>
        </w:tc>
        <w:tc>
          <w:tcP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286.18</w:t>
            </w:r>
          </w:p>
        </w:tc>
        <w:tc>
          <w:tcP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295.36</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9-May</w:t>
            </w:r>
          </w:p>
        </w:tc>
        <w:tc>
          <w:tcP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283.38</w:t>
            </w:r>
          </w:p>
        </w:tc>
        <w:tc>
          <w:tcP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292.02</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10-May</w:t>
            </w:r>
          </w:p>
        </w:tc>
        <w:tc>
          <w:tcP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281.35</w:t>
            </w:r>
          </w:p>
        </w:tc>
        <w:tc>
          <w:tcP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290.52</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13-May</w:t>
            </w:r>
          </w:p>
        </w:tc>
        <w:tc>
          <w:tcP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281.55</w:t>
            </w:r>
          </w:p>
        </w:tc>
        <w:tc>
          <w:tcP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291.15</w:t>
            </w:r>
          </w:p>
        </w:tc>
      </w:tr>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14-May</w:t>
            </w:r>
          </w:p>
        </w:tc>
        <w:tc>
          <w:tcP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280.18</w:t>
            </w:r>
          </w:p>
        </w:tc>
        <w:tc>
          <w:tcP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sz w:val="21"/>
                <w:szCs w:val="21"/>
                <w:highlight w:val="white"/>
                <w:rtl w:val="0"/>
              </w:rPr>
              <w:t xml:space="preserve">289.2</w:t>
            </w:r>
          </w:p>
        </w:tc>
      </w:tr>
    </w:tbl>
    <w:p w:rsidR="00000000" w:rsidDel="00000000" w:rsidP="00000000" w:rsidRDefault="00000000" w:rsidRPr="00000000" w14:paraId="00000100">
      <w:pPr>
        <w:rPr>
          <w:sz w:val="21"/>
          <w:szCs w:val="21"/>
          <w:highlight w:val="white"/>
        </w:rPr>
      </w:pPr>
      <w:r w:rsidDel="00000000" w:rsidR="00000000" w:rsidRPr="00000000">
        <w:rPr>
          <w:rtl w:val="0"/>
        </w:rPr>
      </w:r>
    </w:p>
    <w:p w:rsidR="00000000" w:rsidDel="00000000" w:rsidP="00000000" w:rsidRDefault="00000000" w:rsidRPr="00000000" w14:paraId="00000101">
      <w:pPr>
        <w:rPr>
          <w:highlight w:val="white"/>
        </w:rPr>
      </w:pPr>
      <w:r w:rsidDel="00000000" w:rsidR="00000000" w:rsidRPr="00000000">
        <w:rPr>
          <w:highlight w:val="white"/>
        </w:rPr>
        <w:drawing>
          <wp:inline distB="114300" distT="114300" distL="114300" distR="114300">
            <wp:extent cx="5095875" cy="25146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958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pPr>
      <w:r w:rsidDel="00000000" w:rsidR="00000000" w:rsidRPr="00000000">
        <w:rPr>
          <w:highlight w:val="white"/>
          <w:rtl w:val="0"/>
        </w:rPr>
        <w:t xml:space="preserve">BLUE: 5-output RMSE for Close:  </w:t>
      </w:r>
      <w:r w:rsidDel="00000000" w:rsidR="00000000" w:rsidRPr="00000000">
        <w:rPr>
          <w:sz w:val="21"/>
          <w:szCs w:val="21"/>
          <w:highlight w:val="white"/>
          <w:rtl w:val="0"/>
        </w:rPr>
        <w:t xml:space="preserve">3.13</w:t>
      </w:r>
      <w:r w:rsidDel="00000000" w:rsidR="00000000" w:rsidRPr="00000000">
        <w:rPr>
          <w:rtl w:val="0"/>
        </w:rPr>
      </w:r>
    </w:p>
    <w:p w:rsidR="00000000" w:rsidDel="00000000" w:rsidP="00000000" w:rsidRDefault="00000000" w:rsidRPr="00000000" w14:paraId="00000103">
      <w:pPr>
        <w:rPr>
          <w:sz w:val="21"/>
          <w:szCs w:val="21"/>
          <w:highlight w:val="white"/>
        </w:rPr>
      </w:pPr>
      <w:r w:rsidDel="00000000" w:rsidR="00000000" w:rsidRPr="00000000">
        <w:rPr>
          <w:highlight w:val="white"/>
          <w:rtl w:val="0"/>
        </w:rPr>
        <w:t xml:space="preserve">GREEN: 1-output, Lookback 100, RMSE for Close: </w:t>
      </w:r>
      <w:r w:rsidDel="00000000" w:rsidR="00000000" w:rsidRPr="00000000">
        <w:rPr>
          <w:sz w:val="21"/>
          <w:szCs w:val="21"/>
          <w:highlight w:val="white"/>
          <w:rtl w:val="0"/>
        </w:rPr>
        <w:t xml:space="preserve">3.71</w:t>
      </w:r>
    </w:p>
    <w:p w:rsidR="00000000" w:rsidDel="00000000" w:rsidP="00000000" w:rsidRDefault="00000000" w:rsidRPr="00000000" w14:paraId="00000104">
      <w:pPr>
        <w:rPr>
          <w:highlight w:val="white"/>
        </w:rPr>
      </w:pPr>
      <w:r w:rsidDel="00000000" w:rsidR="00000000" w:rsidRPr="00000000">
        <w:rPr>
          <w:highlight w:val="white"/>
          <w:rtl w:val="0"/>
        </w:rPr>
        <w:t xml:space="preserve">YELLOW: 1-output, Lookback 150,  RMSE for Close:  </w:t>
      </w:r>
      <w:r w:rsidDel="00000000" w:rsidR="00000000" w:rsidRPr="00000000">
        <w:rPr>
          <w:sz w:val="21"/>
          <w:szCs w:val="21"/>
          <w:highlight w:val="white"/>
          <w:rtl w:val="0"/>
        </w:rPr>
        <w:t xml:space="preserve">6.91</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