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120"/>
      </w:pPr>
      <w:r>
        <w:rPr>
          <w:rFonts w:ascii="Microsoft YaHei" w:hAnsi="Microsoft YaHei" w:eastAsia="Microsoft YaHei"/>
          <w:b/>
          <w:color w:val="0B2545"/>
          <w:sz w:val="50"/>
        </w:rPr>
        <w:t>原理图自动检查技术方案</w:t>
      </w:r>
    </w:p>
    <w:p>
      <w:pPr>
        <w:spacing w:after="360"/>
      </w:pPr>
      <w:r>
        <w:rPr>
          <w:rFonts w:ascii="Microsoft YaHei" w:hAnsi="Microsoft YaHei" w:eastAsia="Microsoft YaHei"/>
          <w:color w:val="666666"/>
          <w:sz w:val="26"/>
        </w:rPr>
        <w:t>Cadence Capture 起步、面向多 EDA 扩展的离线数据检查架构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文档定位：</w:t>
      </w:r>
      <w:r>
        <w:rPr>
          <w:rFonts w:ascii="Microsoft YaHei" w:hAnsi="Microsoft YaHei" w:eastAsia="Microsoft YaHei"/>
          <w:sz w:val="21"/>
        </w:rPr>
        <w:t>技术方案与实施参考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当前实现目录：</w:t>
      </w:r>
      <w:r>
        <w:rPr>
          <w:rFonts w:ascii="Microsoft YaHei" w:hAnsi="Microsoft YaHei" w:eastAsia="Microsoft YaHei"/>
          <w:sz w:val="21"/>
        </w:rPr>
        <w:t>D:\GPTPRJ\DSNCheck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覆盖范围：</w:t>
      </w:r>
      <w:r>
        <w:rPr>
          <w:rFonts w:ascii="Microsoft YaHei" w:hAnsi="Microsoft YaHei" w:eastAsia="Microsoft YaHei"/>
          <w:sz w:val="21"/>
        </w:rPr>
        <w:t>数据导出、数据包、Netlist、离线规则检查、多 EDA 适配</w:t>
      </w:r>
    </w:p>
    <w:p>
      <w:pPr>
        <w:spacing w:after="40"/>
      </w:pPr>
      <w:r>
        <w:rPr>
          <w:rFonts w:ascii="Microsoft YaHei" w:hAnsi="Microsoft YaHei" w:eastAsia="Microsoft YaHei"/>
          <w:b/>
          <w:sz w:val="21"/>
        </w:rPr>
        <w:t>日期：</w:t>
      </w:r>
      <w:r>
        <w:rPr>
          <w:rFonts w:ascii="Microsoft YaHei" w:hAnsi="Microsoft YaHei" w:eastAsia="Microsoft YaHei"/>
          <w:sz w:val="21"/>
        </w:rPr>
        <w:t>2026-08-29</w:t>
      </w:r>
    </w:p>
    <w:p>
      <w:pPr>
        <w:spacing w:before="240" w:after="240"/>
        <w:pBdr>
          <w:bottom w:val="single" w:sz="10" w:space="1" w:color="2E74B5"/>
        </w:pBdr>
      </w:pPr>
    </w:p>
    <w:p>
      <w:pPr>
        <w:pStyle w:val="Heading1"/>
      </w:pPr>
      <w:r>
        <w:t>1. 方案结论</w:t>
      </w:r>
    </w:p>
    <w:p>
      <w:r>
        <w:t>本方案采用“EDA 专用导出适配器 + 统一中间数据格式 + 离线检查引擎”的分层架构。Capture 只负责把当前工程导出为数据文件；检查器只读取数据文件，不再直接操作 DSN 或依赖 Capture 会话。该方式既能覆盖 Cadence 的原理图几何检查，也能为 KiCad、Altium、Eagle、Mentor/Siemens、PADS 等 EDA 保留扩展空间。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网络拓扑检查优先使用 ISCF、PSpice/逻辑 Netlist 或统一后的 nets/pins 数据。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悬空导线、Junction、Bus、Off-page Connector 和图形重叠必须保留 Wire、坐标、连接点及图形边界框。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检查规则只读取统一 JSON/JSONL/CSV 数据，不直接调用某个 EDA 的 API。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每个适配器必须报告来源 EDA、版本、导出能力和未支持字段，避免产生“未检查即通过”的误判。</w:t>
      </w:r>
    </w:p>
    <w:p>
      <w:pPr>
        <w:pStyle w:val="Heading1"/>
      </w:pPr>
      <w:r>
        <w:t>2. 总体架构与运行边界</w:t>
      </w:r>
    </w:p>
    <w:p>
      <w:pPr>
        <w:pStyle w:val="CodeBlock"/>
      </w:pPr>
      <w:r>
        <w:t>EDA 原理图 → 专用导出适配器 → 离线数据包 → 通用检查引擎 → TXT/JSON 报告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100"/>
        <w:gridCol w:w="2760"/>
      </w:tblGrid>
      <w:tr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层次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职责</w:t>
            </w:r>
          </w:p>
        </w:tc>
        <w:tc>
          <w:tcPr>
            <w:tcW w:type="dxa" w:w="2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是否接触 DSN/EDA 会话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导出层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调用原生 API、Tcl/Dbo 或读取开放格式，生成原始数据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是，仅在导出阶段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规范化层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将原始记录整理为统一的器件、Pin、Net、Wire、Sheet 等模型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检查层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执行网络、属性、层次结构和几何规则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报告层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按类别输出错误、位置、来源对象和证据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否</w:t>
            </w:r>
          </w:p>
        </w:tc>
      </w:tr>
    </w:tbl>
    <w:p>
      <w:pPr>
        <w:spacing w:after="20"/>
      </w:pPr>
    </w:p>
    <w:p>
      <w:r>
        <w:t>边界原则：导出阶段允许使用 Capture；离线检查阶段不读取 DSN、不连接 Capture、不修改原理图。导出的数据包可以归档、复查、在 CI 中重复检查。</w:t>
      </w:r>
    </w:p>
    <w:p>
      <w:pPr>
        <w:pStyle w:val="Heading1"/>
      </w:pPr>
      <w:r>
        <w:t>3. Cadence Capture 数据导出方案</w:t>
      </w:r>
    </w:p>
    <w:p>
      <w:pPr>
        <w:pStyle w:val="Heading2"/>
      </w:pPr>
      <w:r>
        <w:t>3.1 原生 ISCF</w:t>
      </w:r>
    </w:p>
    <w:p>
      <w:r>
        <w:t>Capture 16.6 自带 capISCFExport。批处理方式使用 ExportDesignInBatch；当前活动设计方式使用 ExportDesign $design，从而不重新打开 DSN、不创建独立 Dbo Session。ISCF 主要提供元件属性、RefDes、Pin、普通网络、Power、Ground 和 Bus 逻辑信息。</w:t>
      </w:r>
    </w:p>
    <w:p>
      <w:pPr>
        <w:pStyle w:val="CodeBlock"/>
      </w:pPr>
      <w:r>
        <w:t>::capISCFExport::ExportDesign $design $iscfPath $logPath</w:t>
      </w:r>
    </w:p>
    <w:p>
      <w:pPr>
        <w:pStyle w:val="Heading2"/>
      </w:pPr>
      <w:r>
        <w:t>3.2 Capture Tcl/Dbo 补充数据</w:t>
      </w:r>
    </w:p>
    <w:p>
      <w:r>
        <w:t>Dbo 导出器遍历设计、原理图、页面和页面对象，输出 JSONL。当前字段覆盖：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Part、Value、Reference、PCB Footprint、Source Library/Part；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Pin、Pin Number、Pin Name、Pin Type、No Connect、所属器件和网络；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Wire、Wire Point、Wire 端点对象数、网络名、方向、长度属性；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PointIsJunction、JunctionOnWire、Net Alias；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Global、Power、Ground、Port、Off-page Connector；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Bus Entry、Bus/Bundle 标识；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Graphic、Display Property、User Property、坐标和 Bounding Box。</w:t>
      </w:r>
    </w:p>
    <w:p>
      <w:pPr>
        <w:pStyle w:val="Heading2"/>
      </w:pPr>
      <w:r>
        <w:t>3.3 当前 Capture 入口</w:t>
      </w:r>
    </w:p>
    <w:p>
      <w:pPr>
        <w:pStyle w:val="CodeBlock"/>
      </w:pPr>
      <w:r>
        <w:t>在 Capture Tcl Command Window 执行：</w:t>
        <w:br/>
        <w:t>source {D:/GPTPRJ/DSNCheck/scripts/capture_export_active.tcl}</w:t>
      </w:r>
    </w:p>
    <w:p>
      <w:r>
        <w:t>默认输出到活动 DSN 同目录的 &lt;DSN文件名&gt;_checkdata。该入口只做导出；导出完成后可关闭 Capture，再执行后续离线步骤。</w:t>
      </w:r>
    </w:p>
    <w:p>
      <w:pPr>
        <w:pStyle w:val="Heading1"/>
      </w:pPr>
      <w:r>
        <w:t>4. 统一离线数据包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文件/目录</w:t>
            </w:r>
          </w:p>
        </w:tc>
        <w:tc>
          <w:tcPr>
            <w:tcW w:type="dxa" w:w="3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3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主要用途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native/design.iscf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Cadence 原生 ISCF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属性、Pin、Net、Power/Ground、Bus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dbo/objects.jsonl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 Dbo 对象记录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Wire、Junction、坐标、层次对象、图形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dbo/properties.jsonl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User/Display Property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属性完整性和文字/图形位置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dbo/errors.jsonl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导出阶段非致命错误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数据质量和兼容性追踪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netlist/parts.csv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规范化器件表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器件、位号、值、封装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netlist/pins.csv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规范化 Pin 表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Pin 与网络、器件的关系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netlist/nets.csv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规范化网络汇总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连接数、器件数、电源标识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netlist/logical_netlist.jsonl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逐网络结构化记录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通用网络规则输入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package_manifest.json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数据包清单和能力信息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版本、统计、来源和完整性</w:t>
            </w:r>
          </w:p>
        </w:tc>
      </w:tr>
    </w:tbl>
    <w:p>
      <w:pPr>
        <w:spacing w:after="20"/>
      </w:pPr>
    </w:p>
    <w:p>
      <w:r>
        <w:t>Cadence PCB Netlist 的 pstxnet.dat、pstxprt.dat、pstchip.dat 可以作为可选外部输入收集；Cadence 16.6 的 Tools → Create Netlist → PCB Editor 没有发现稳定的公开 Tcl 调用接口。Cadence DRC 报告不纳入本方案的数据包。</w:t>
      </w:r>
    </w:p>
    <w:p>
      <w:pPr>
        <w:pStyle w:val="Heading1"/>
      </w:pPr>
      <w:r>
        <w:t>5. Netlist 的作用与限制</w:t>
      </w:r>
    </w:p>
    <w:p>
      <w:r>
        <w:t>Netlist 适合表达“最终逻辑连接结果”，不等价于完整原理图。它可以支持器件属性、位号/封装、Pin 连接、单节点网络、伪单节点网络和孤立电源；但通常无法证明导线在图面上是否真正连接，也无法表达 Junction、图形重叠或 Bus Entry 的几何关系。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1800"/>
        <w:gridCol w:w="4660"/>
      </w:tblGrid>
      <w:tr>
        <w:tc>
          <w:tcPr>
            <w:tcW w:type="dxa" w:w="2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检查项目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Netlist</w:t>
            </w:r>
          </w:p>
        </w:tc>
        <w:tc>
          <w:tcPr>
            <w:tcW w:type="dxa" w:w="4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完整 Dbo/几何数据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元件属性、位号、封装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引脚连接、单节点网络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孤立电源、伪单节点网络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支持（需器件类型/电源标识）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支持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悬空导线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不可靠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Junction、导线交叉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不支持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Off-page、Bus Entry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不完整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图形/文字重叠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不支持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必须</w:t>
            </w:r>
          </w:p>
        </w:tc>
      </w:tr>
    </w:tbl>
    <w:p>
      <w:pPr>
        <w:spacing w:after="20"/>
      </w:pPr>
    </w:p>
    <w:p>
      <w:pPr>
        <w:pStyle w:val="Heading1"/>
      </w:pPr>
      <w:r>
        <w:t>6. 当前三类网络错误规则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2300"/>
        <w:gridCol w:w="1960"/>
      </w:tblGrid>
      <w:tr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类别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规则定义</w:t>
            </w:r>
          </w:p>
        </w:tc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所需字段</w:t>
            </w:r>
          </w:p>
        </w:tc>
        <w:tc>
          <w:tcPr>
            <w:tcW w:type="dxa" w:w="1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输出证据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单节点网络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有效连接 Pin 数少于 2 个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net_name、pin_id、owner_id、no_connect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网络名、连接数、Pin、器件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孤立电源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电源网络的连接器件全部为电阻/电容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电源标识、RefDes、器件类型、Net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网络名、电源标识、R/C 器件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伪单节点网络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网络至少有 2 个 Pin，但所有 Pin 属于同一器件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net_name、owner_id、Pin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网络名、器件、Pin 清单</w:t>
            </w:r>
          </w:p>
        </w:tc>
      </w:tr>
    </w:tbl>
    <w:p>
      <w:pPr>
        <w:spacing w:after="20"/>
      </w:pPr>
    </w:p>
    <w:p>
      <w:r>
        <w:t>当前离线检查器读取 dbo/objects.jsonl，并输出 dsn_check_report.txt 和 dsn_check_report.json。规则中 No Connect Pin 不计入有效连接。电源识别优先使用 Global/Power 信息，同时兼容 GND、VCC、VDD、VSS、VBAT 等约定命名。</w:t>
      </w:r>
    </w:p>
    <w:p>
      <w:pPr>
        <w:pStyle w:val="Heading1"/>
      </w:pPr>
      <w:r>
        <w:t>7. 多 EDA 兼容策略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500"/>
        <w:gridCol w:w="3160"/>
        <w:gridCol w:w="2000"/>
      </w:tblGrid>
      <w:t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EDA</w:t>
            </w:r>
          </w:p>
        </w:tc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首选输入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适配器能力重点</w:t>
            </w:r>
          </w:p>
        </w:tc>
        <w:tc>
          <w:tcPr>
            <w:tcW w:type="dxa" w:w="2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几何数据可得性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Cadence Capture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Tcl/Dbo + ISCF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完整对象和网络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KiCad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.kicad_sch S-expression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直接解析开放格式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Altium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API/脚本/导出 Netlist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器件、Pin、Net、属性；几何依赖 API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中-高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Eagle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XML .sch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器件、网络、图形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Mentor/Siemens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官方 API/ASCII/XML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版本适配和能力声明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依版本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PADS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ASCII/数据库/Netlist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器件和网络；几何依赖导出方式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中</w:t>
            </w:r>
          </w:p>
        </w:tc>
      </w:tr>
    </w:tbl>
    <w:p>
      <w:pPr>
        <w:spacing w:after="20"/>
      </w:pPr>
    </w:p>
    <w:p>
      <w:r>
        <w:t>统一模型建议包含 design、sheet、component、pin、net、wire、wire_point、junction、net_alias、power_symbol、ground_symbol、port、offpage_connector、bus、bus_entry、graphic、property，并保留 source_eda、source_file、source_object_id、sheet_name、coordinates。</w:t>
      </w:r>
    </w:p>
    <w:p>
      <w:pPr>
        <w:pStyle w:val="Heading1"/>
      </w:pPr>
      <w:r>
        <w:t>8. 工具目录与使用流程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scripts/capture_export_active.tcl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从当前 Capture 活动设计导出数据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scripts/capture_export_all.tcl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导出器核心库，含 ISCF/Dbo/自定义补充逻辑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Export-DSNCheckPackage.ps1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将原始导出整理为离线数据包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Run-DSNCheck.ps1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只读取离线数据包并生成检查报告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Invoke-DSNCheck.ps1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网络规则检查核心实现</w:t>
            </w:r>
          </w:p>
        </w:tc>
      </w:tr>
    </w:tbl>
    <w:p>
      <w:pPr>
        <w:spacing w:after="20"/>
      </w:pPr>
    </w:p>
    <w:p>
      <w:pPr>
        <w:pStyle w:val="Heading2"/>
      </w:pPr>
      <w:r>
        <w:t>8.1 标准两阶段流程</w:t>
      </w:r>
    </w:p>
    <w:p>
      <w:pPr>
        <w:pStyle w:val="CodeBlock"/>
      </w:pPr>
      <w:r>
        <w:t>1) Capture Tcl Window:</w:t>
        <w:br/>
        <w:t xml:space="preserve">   source {D:/GPTPRJ/DSNCheck/scripts/capture_export_active.tcl}</w:t>
        <w:br/>
        <w:br/>
        <w:t>2) PowerShell:</w:t>
        <w:br/>
        <w:t xml:space="preserve">   &amp; D:\GPTPRJ\DSNCheck\Export-DSNCheckPackage.ps1 `</w:t>
        <w:br/>
        <w:t xml:space="preserve">     -InputDirectory D:\GPTPRJ\EXAMPLE_SCH\&lt;DSN&gt;_checkdata</w:t>
        <w:br/>
        <w:br/>
        <w:t>3) PowerShell:</w:t>
        <w:br/>
        <w:t xml:space="preserve">   &amp; D:\GPTPRJ\DSNCheck\Run-DSNCheck.ps1 `</w:t>
        <w:br/>
        <w:t xml:space="preserve">     -InputDirectory D:\GPTPRJ\EXAMPLE_SCH\&lt;DSN&gt;_checkdata_package</w:t>
      </w:r>
    </w:p>
    <w:p>
      <w:r>
        <w:t>若指定 OutputDirectory，应使用纯 ASCII 路径；Capture 16.6 内置 Tcl 8.4 对中文路径兼容性较差。</w:t>
      </w:r>
    </w:p>
    <w:p>
      <w:pPr>
        <w:pStyle w:val="Heading1"/>
      </w:pPr>
      <w:r>
        <w:t>9. 当前验证结果与已知限制</w:t>
      </w:r>
    </w:p>
    <w:p>
      <w:r>
        <w:t>对示例工程 AT91SAM9M10-G45-EK_REVA2-TOOL-TEST 的一次导出和离线检查已完成：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指标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结果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Dbo 对象数据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objects.jsonl 约 5.1 MB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器件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709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已连接 Pin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2396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网络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650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单节点网络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孤立电源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伪单节点网络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</w:tbl>
    <w:p>
      <w:pPr>
        <w:spacing w:after="20"/>
      </w:pPr>
    </w:p>
    <w:p>
      <w:r>
        <w:t>报告中已列出 20 个单节点网络的网络名、连接数、器件和 Pin。当前检查器仍属于规则原型：孤立电源识别依赖 Power/Global 标识和命名约定；若某 EDA 未导出电源类型，应报告“无法判定”，而不是默认无错误。</w:t>
      </w:r>
    </w:p>
    <w:p>
      <w:pPr>
        <w:pStyle w:val="Heading2"/>
      </w:pPr>
      <w:r>
        <w:t>9.1 网表导出失败案例</w:t>
      </w:r>
    </w:p>
    <w:p>
      <w:r>
        <w:t>示例工程的 Capture PCB Netlist 日志显示 ORCAP-36071：J1-1 至 J1-4 的 PCB Footprint 属性包含空格，随后 ORCAP-36018 中止网表生成。SH、SUP、LCD、M、Z 等对象的“无引脚”信息是警告，不是中止根因。</w:t>
      </w:r>
    </w:p>
    <w:p>
      <w:pPr>
        <w:pStyle w:val="Heading1"/>
      </w:pPr>
      <w:r>
        <w:t>10. 后续实施路线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固化统一 schema_version、字段类型、坐标单位和错误码。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为每个 EDA 适配器增加能力清单与最小样例工程回归测试。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扩展几何规则：悬空导线、Junction、导线相交、Off-page 匹配、Bus Entry、图形重叠。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让检查器同时读取 ISCF、规范化 Netlist 和 Dbo JSONL，并对字段冲突给出证据。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增加 HTML/JSON 报告、按页定位、源对象 ID 和可选图片标注。</w:t>
      </w:r>
    </w:p>
    <w:p>
      <w:pPr>
        <w:pStyle w:val="ListBullet"/>
        <w:spacing w:after="60" w:line="259" w:lineRule="auto"/>
      </w:pPr>
      <w:r>
        <w:rPr>
          <w:rFonts w:ascii="Microsoft YaHei" w:hAnsi="Microsoft YaHei" w:eastAsia="Microsoft YaHei"/>
          <w:sz w:val="21"/>
        </w:rPr>
        <w:t>把离线数据包接入批处理/CI，固定输入快照，支持规则版本和结果对比。</w:t>
      </w:r>
    </w:p>
    <w:p>
      <w:pPr>
        <w:pStyle w:val="Heading1"/>
      </w:pPr>
      <w:r>
        <w:t>附录 A：设计决策摘要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6360"/>
      </w:tblGrid>
      <w:tr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决策</w:t>
            </w:r>
          </w:p>
        </w:tc>
        <w:tc>
          <w:tcPr>
            <w:tcW w:type="dxa" w:w="63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b/>
                <w:color w:val="0B2545"/>
                <w:sz w:val="19"/>
              </w:rPr>
              <w:t>结论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是否直接解析 Cadence DSN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不解析二进制 DSN，使用官方 ISCF 与 Tcl/Dbo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是否让检查器连接 Capture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不连接；检查器只读离线数据包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Netlist 是否足够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足够做网络/器件逻辑检查，不足以做几何检查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是否纳入 Cadence DRC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本方案数据包不纳入 DRC 报告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多 EDA 如何扩展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  <w:r>
              <w:rPr>
                <w:rFonts w:ascii="Microsoft YaHei" w:hAnsi="Microsoft YaHei" w:eastAsia="Microsoft YaHei"/>
                <w:sz w:val="18"/>
              </w:rPr>
              <w:t>每种 EDA 一个适配器，输出统一中间模型</w:t>
            </w:r>
          </w:p>
        </w:tc>
      </w:tr>
    </w:tbl>
    <w:p>
      <w:pPr>
        <w:spacing w:after="20"/>
      </w:pPr>
    </w:p>
    <w:p>
      <w:r>
        <w:t>文档结束。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666666"/>
        <w:sz w:val="17"/>
      </w:rPr>
      <w:t>DSNCheck | 技术方案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666666"/>
        <w:sz w:val="17"/>
      </w:rPr>
      <w:t>原理图自动检查技术方案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20" w:line="240" w:lineRule="auto"/>
      <w:ind w:left="288" w:right="288"/>
    </w:pPr>
    <w:rPr>
      <w:rFonts w:ascii="Consolas" w:hAnsi="Consola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