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color w:val="2563EB"/>
          <w:sz w:val="72"/>
          <w:szCs w:val="72"/>
        </w:rPr>
        <w:t xml:space="preserve">SMAC</w:t>
      </w:r>
    </w:p>
    <w:p>
      <w:pPr>
        <w:spacing w:after="200" w:before="0"/>
        <w:jc w:val="center"/>
      </w:pPr>
      <w:r>
        <w:rPr>
          <w:rFonts w:ascii="Arial" w:cs="Arial" w:eastAsia="Arial" w:hAnsi="Arial"/>
          <w:color w:val="374151"/>
          <w:sz w:val="26"/>
          <w:szCs w:val="26"/>
        </w:rPr>
        <w:t xml:space="preserve">Suivi et Management des Ateliers et de la Chaîne logistique</w:t>
      </w:r>
    </w:p>
    <w:p>
      <w:pPr>
        <w:spacing w:after="800" w:before="0"/>
        <w:jc w:val="center"/>
      </w:pPr>
      <w:r>
        <w:rPr>
          <w:rFonts w:ascii="Arial" w:cs="Arial" w:eastAsia="Arial" w:hAnsi="Arial"/>
          <w:i/>
          <w:iCs/>
          <w:color w:val="6B7280"/>
          <w:sz w:val="24"/>
          <w:szCs w:val="24"/>
        </w:rPr>
        <w:t xml:space="preserve">Manuel Utilisateur</w:t>
      </w:r>
    </w:p>
    <w:p>
      <w:pPr>
        <w:jc w:val="center"/>
      </w:pPr>
      <w:r>
        <w:rPr>
          <w:rFonts w:ascii="Arial" w:cs="Arial" w:eastAsia="Arial" w:hAnsi="Arial"/>
          <w:color w:val="9CA3AF"/>
          <w:sz w:val="20"/>
          <w:szCs w:val="20"/>
        </w:rPr>
        <w:t xml:space="preserve">Version 0.4.0  —  Mai 2026</w:t>
      </w:r>
    </w:p>
    <w:p>
      <w:pPr>
        <w:spacing w:after="100" w:before="100"/>
      </w:pPr>
      <w:r>
        <w:t xml:space="preserve"/>
      </w:r>
    </w:p>
    <w:p>
      <w:pPr>
        <w:spacing w:after="100" w:before="100"/>
      </w:pPr>
      <w:r>
        <w:t xml:space="preserve"/>
      </w:r>
    </w:p>
    <w:p>
      <w:pPr>
        <w:pStyle w:val="Heading1"/>
        <w:spacing w:after="200" w:before="400"/>
      </w:pPr>
      <w:r>
        <w:rPr>
          <w:rFonts w:ascii="Arial" w:cs="Arial" w:eastAsia="Arial" w:hAnsi="Arial"/>
          <w:b/>
          <w:bCs/>
          <w:color w:val="2563EB"/>
          <w:sz w:val="32"/>
          <w:szCs w:val="32"/>
        </w:rPr>
        <w:t xml:space="preserve">1. Introduction</w:t>
      </w:r>
    </w:p>
    <w:p>
      <w:pPr>
        <w:spacing w:after="80" w:before="80"/>
      </w:pPr>
      <w:r>
        <w:rPr>
          <w:rFonts w:ascii="Arial" w:cs="Arial" w:eastAsia="Arial" w:hAnsi="Arial"/>
          <w:sz w:val="22"/>
          <w:szCs w:val="22"/>
        </w:rPr>
        <w:t xml:space="preserve">SMAC est une application web de gestion industrielle conçue pour remplacer l'outil OGI. Elle couvre deux domaines :</w:t>
      </w:r>
    </w:p>
    <w:p>
      <w:pPr>
        <w:pStyle w:val="ListParagraph"/>
        <w:numPr>
          <w:ilvl w:val="0"/>
          <w:numId w:val="2"/>
        </w:numPr>
        <w:spacing w:after="60" w:before="60"/>
      </w:pPr>
      <w:r>
        <w:rPr>
          <w:rFonts w:ascii="Arial" w:cs="Arial" w:eastAsia="Arial" w:hAnsi="Arial"/>
          <w:sz w:val="22"/>
          <w:szCs w:val="22"/>
        </w:rPr>
        <w:t xml:space="preserve">WMS (Warehouse Management System) — gestion de la chaîne logistique</w:t>
      </w:r>
    </w:p>
    <w:p>
      <w:pPr>
        <w:pStyle w:val="ListParagraph"/>
        <w:numPr>
          <w:ilvl w:val="0"/>
          <w:numId w:val="2"/>
        </w:numPr>
        <w:spacing w:after="60" w:before="60"/>
      </w:pPr>
      <w:r>
        <w:rPr>
          <w:rFonts w:ascii="Arial" w:cs="Arial" w:eastAsia="Arial" w:hAnsi="Arial"/>
          <w:sz w:val="22"/>
          <w:szCs w:val="22"/>
        </w:rPr>
        <w:t xml:space="preserve">MES (Manufacturing Execution System) — suivi de la production en atelier</w:t>
      </w:r>
    </w:p>
    <w:p>
      <w:pPr>
        <w:spacing w:after="100" w:before="100"/>
      </w:pPr>
      <w:r>
        <w:t xml:space="preserve"/>
      </w:r>
    </w:p>
    <w:p>
      <w:pPr>
        <w:spacing w:after="80" w:before="80"/>
      </w:pPr>
      <w:r>
        <w:rPr>
          <w:rFonts w:ascii="Arial" w:cs="Arial" w:eastAsia="Arial" w:hAnsi="Arial"/>
          <w:sz w:val="22"/>
          <w:szCs w:val="22"/>
        </w:rPr>
        <w:t xml:space="preserve">L'application est accessible depuis n'importe quel navigateur web, sur ordinateur ou terminal mobile (Honeywell CT40, etc.), via le réseau local.</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  L'accès à l'application est sécurisé. Un identifiant et un mot de passe sont obligatoires. Toutes les données sont protégées et inaccessibles sans authentification.</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2. Connexion</w:t>
      </w:r>
    </w:p>
    <w:p>
      <w:pPr>
        <w:pStyle w:val="Heading2"/>
        <w:spacing w:after="150" w:before="300"/>
      </w:pPr>
      <w:r>
        <w:rPr>
          <w:rFonts w:ascii="Arial" w:cs="Arial" w:eastAsia="Arial" w:hAnsi="Arial"/>
          <w:b/>
          <w:bCs/>
          <w:color w:val="1E40AF"/>
          <w:sz w:val="26"/>
          <w:szCs w:val="26"/>
        </w:rPr>
        <w:t xml:space="preserve">2.1 Accéder à l'application</w:t>
      </w:r>
    </w:p>
    <w:p>
      <w:pPr>
        <w:spacing w:after="80" w:before="80"/>
      </w:pPr>
      <w:r>
        <w:rPr>
          <w:rFonts w:ascii="Arial" w:cs="Arial" w:eastAsia="Arial" w:hAnsi="Arial"/>
          <w:sz w:val="22"/>
          <w:szCs w:val="22"/>
        </w:rPr>
        <w:t xml:space="preserve">Ouvrez votre navigateur et saisissez l'adresse fournie par votre administrateur (ex : http://192.168.x.x:5173).</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2.2 Se connecter</w:t>
      </w:r>
    </w:p>
    <w:p>
      <w:pPr>
        <w:spacing w:after="80" w:before="80"/>
      </w:pPr>
      <w:r>
        <w:rPr>
          <w:rFonts w:ascii="Arial" w:cs="Arial" w:eastAsia="Arial" w:hAnsi="Arial"/>
          <w:sz w:val="22"/>
          <w:szCs w:val="22"/>
        </w:rPr>
        <w:t xml:space="preserve">L'écran de connexion vous demande deux informations :</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Champ</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Votre login (ex : admin)</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Mot de passe</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Votre mot de passe personnel</w:t>
            </w:r>
          </w:p>
        </w:tc>
      </w:tr>
    </w:tbl>
    <w:p>
      <w:pPr>
        <w:spacing w:after="100" w:before="100"/>
      </w:pPr>
      <w:r>
        <w:t xml:space="preserve"/>
      </w:r>
    </w:p>
    <w:p>
      <w:pPr>
        <w:spacing w:after="80" w:before="80"/>
      </w:pPr>
      <w:r>
        <w:rPr>
          <w:rFonts w:ascii="Arial" w:cs="Arial" w:eastAsia="Arial" w:hAnsi="Arial"/>
          <w:sz w:val="22"/>
          <w:szCs w:val="22"/>
        </w:rPr>
        <w:t xml:space="preserve">Cliquez sur « Se connecter ». En cas d'erreur, le message « Identifiants incorrects » s'affiche.</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  Les identifiants par défaut (premier démarrage) sont : admin / admin123. À modifier impérativement en production.</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3. Tableau de bord</w:t>
      </w:r>
    </w:p>
    <w:p>
      <w:pPr>
        <w:spacing w:after="80" w:before="80"/>
      </w:pPr>
      <w:r>
        <w:rPr>
          <w:rFonts w:ascii="Arial" w:cs="Arial" w:eastAsia="Arial" w:hAnsi="Arial"/>
          <w:sz w:val="22"/>
          <w:szCs w:val="22"/>
        </w:rPr>
        <w:t xml:space="preserve">Après connexion, vous arrivez sur le tableau de bord. Il donne accès aux différentes sections de l'application.</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Raccourci</w:t>
            </w:r>
          </w:p>
        </w:tc>
        <w:tc>
          <w:tcPr>
            <w:tcW w:type="dxa" w:w="60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Suivi articles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Consulter et faire avancer les articles dans le workflow</w:t>
            </w:r>
          </w:p>
        </w:tc>
      </w:tr>
      <w:tr>
        <w:tc>
          <w:tcPr>
            <w:tcW w:type="dxa" w:w="30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Base articles</w:t>
            </w:r>
          </w:p>
        </w:tc>
        <w:tc>
          <w:tcPr>
            <w:tcW w:type="dxa" w:w="60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Configurer les champs de vos articles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workflow</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Configurer les statuts et transitions (accès administrateur)</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4. Suivi des articles</w:t>
      </w:r>
    </w:p>
    <w:p>
      <w:pPr>
        <w:spacing w:after="80" w:before="80"/>
      </w:pPr>
      <w:r>
        <w:rPr>
          <w:rFonts w:ascii="Arial" w:cs="Arial" w:eastAsia="Arial" w:hAnsi="Arial"/>
          <w:sz w:val="22"/>
          <w:szCs w:val="22"/>
        </w:rPr>
        <w:t xml:space="preserve">La page « Suivi articles » affiche la liste de tous les articles et leur statut courant dans le workflow.</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4.1 Tableau de suivi</w:t>
      </w:r>
    </w:p>
    <w:p>
      <w:pPr>
        <w:spacing w:after="80" w:before="80"/>
      </w:pPr>
      <w:r>
        <w:rPr>
          <w:rFonts w:ascii="Arial" w:cs="Arial" w:eastAsia="Arial" w:hAnsi="Arial"/>
          <w:sz w:val="22"/>
          <w:szCs w:val="22"/>
        </w:rPr>
        <w:t xml:space="preserve">Chaque ligne du tableau présente les informations suivantes :</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Colonne</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Référence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Référence interne de l'article</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Désignation</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Nom du produit (ex : Honeywell CT40)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Série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Numéro de série unique de l'appareil</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Statut</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Statut actuel, affiché sous forme de badge coloré</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Actions</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Boutons de transition disponibles selon le statut courant</w:t>
            </w:r>
          </w:p>
        </w:tc>
      </w:tr>
    </w:tbl>
    <w:p>
      <w:pPr>
        <w:spacing w:after="100" w:before="100"/>
      </w:pPr>
      <w:r>
        <w:t xml:space="preserve"/>
      </w:r>
    </w:p>
    <w:p>
      <w:pPr>
        <w:pStyle w:val="Heading2"/>
        <w:spacing w:after="150" w:before="300"/>
      </w:pPr>
      <w:r>
        <w:rPr>
          <w:rFonts w:ascii="Arial" w:cs="Arial" w:eastAsia="Arial" w:hAnsi="Arial"/>
          <w:b/>
          <w:bCs/>
          <w:color w:val="1E40AF"/>
          <w:sz w:val="26"/>
          <w:szCs w:val="26"/>
        </w:rPr>
        <w:t xml:space="preserve">4.2 Faire avancer un article</w:t>
      </w:r>
    </w:p>
    <w:p>
      <w:pPr>
        <w:pStyle w:val="ListParagraph"/>
        <w:numPr>
          <w:ilvl w:val="0"/>
          <w:numId w:val="2"/>
        </w:numPr>
        <w:spacing w:after="60" w:before="60"/>
      </w:pPr>
      <w:r>
        <w:rPr>
          <w:rFonts w:ascii="Arial" w:cs="Arial" w:eastAsia="Arial" w:hAnsi="Arial"/>
          <w:sz w:val="22"/>
          <w:szCs w:val="22"/>
        </w:rPr>
        <w:t xml:space="preserve">Cliquez sur le bouton de transition souhaité pour changer le statut de l'article.</w:t>
      </w:r>
    </w:p>
    <w:p>
      <w:pPr>
        <w:pStyle w:val="ListParagraph"/>
        <w:numPr>
          <w:ilvl w:val="0"/>
          <w:numId w:val="2"/>
        </w:numPr>
        <w:spacing w:after="60" w:before="60"/>
      </w:pPr>
      <w:r>
        <w:rPr>
          <w:rFonts w:ascii="Arial" w:cs="Arial" w:eastAsia="Arial" w:hAnsi="Arial"/>
          <w:sz w:val="22"/>
          <w:szCs w:val="22"/>
        </w:rPr>
        <w:t xml:space="preserve">Le tableau se met à jour immédiatement.</w:t>
      </w:r>
    </w:p>
    <w:p>
      <w:pPr>
        <w:pStyle w:val="ListParagraph"/>
        <w:numPr>
          <w:ilvl w:val="0"/>
          <w:numId w:val="2"/>
        </w:numPr>
        <w:spacing w:after="60" w:before="60"/>
      </w:pPr>
      <w:r>
        <w:rPr>
          <w:rFonts w:ascii="Arial" w:cs="Arial" w:eastAsia="Arial" w:hAnsi="Arial"/>
          <w:sz w:val="22"/>
          <w:szCs w:val="22"/>
        </w:rPr>
        <w:t xml:space="preserve">Si aucun bouton n'est affiché, l'article est dans un statut final ou sans transition configurée.</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ℹ️  Les transitions disponibles sont configurées par l'administrateur dans la section Configuration &gt; Workflow.</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5. Configuration — Articles</w:t>
      </w:r>
    </w:p>
    <w:p>
      <w:pPr>
        <w:spacing w:after="80" w:before="80"/>
      </w:pPr>
      <w:r>
        <w:rPr>
          <w:rFonts w:ascii="Arial" w:cs="Arial" w:eastAsia="Arial" w:hAnsi="Arial"/>
          <w:sz w:val="22"/>
          <w:szCs w:val="22"/>
        </w:rPr>
        <w:t xml:space="preserve">Accessible via le menu CONFIGURATION &gt; Articles. Cette section permet de définir les champs qui composent vos articles. Chaque site peut avoir ses propres champs, adaptés à son activité.</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5.1 Créer un champ</w:t>
      </w:r>
    </w:p>
    <w:p>
      <w:pPr>
        <w:spacing w:after="80" w:before="80"/>
      </w:pPr>
      <w:r>
        <w:rPr>
          <w:rFonts w:ascii="Arial" w:cs="Arial" w:eastAsia="Arial" w:hAnsi="Arial"/>
          <w:sz w:val="22"/>
          <w:szCs w:val="22"/>
        </w:rPr>
        <w:t xml:space="preserve">Remplissez le formulaire en bas de page :</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Champ</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technique unique (ex : NUMERO_RMA, PN, SN)</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Label</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Nom affiché à l'utilisateur (ex : N° RMA, P/N, S/N)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Nature de la valeur : Texte, Nombre, Date ou Liste déroulante</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Ordre</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Position du champ dans les formulaires (nombre entier)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Obligatoire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 coché, le champ devra obligatoirement être renseigné</w:t>
            </w:r>
          </w:p>
        </w:tc>
      </w:tr>
    </w:tbl>
    <w:p>
      <w:pPr>
        <w:spacing w:after="100" w:before="100"/>
      </w:pPr>
      <w:r>
        <w:t xml:space="preserve"/>
      </w:r>
    </w:p>
    <w:p>
      <w:pPr>
        <w:pStyle w:val="Heading2"/>
        <w:spacing w:after="150" w:before="300"/>
      </w:pPr>
      <w:r>
        <w:rPr>
          <w:rFonts w:ascii="Arial" w:cs="Arial" w:eastAsia="Arial" w:hAnsi="Arial"/>
          <w:b/>
          <w:bCs/>
          <w:color w:val="1E40AF"/>
          <w:sz w:val="26"/>
          <w:szCs w:val="26"/>
        </w:rPr>
        <w:t xml:space="preserve">5.2 Modifier un champ</w:t>
      </w:r>
    </w:p>
    <w:p>
      <w:pPr>
        <w:spacing w:after="80" w:before="80"/>
      </w:pPr>
      <w:r>
        <w:rPr>
          <w:rFonts w:ascii="Arial" w:cs="Arial" w:eastAsia="Arial" w:hAnsi="Arial"/>
          <w:sz w:val="22"/>
          <w:szCs w:val="22"/>
        </w:rPr>
        <w:t xml:space="preserve">Cliquez sur l'icône crayon en fin de ligne pour modifier le label, le type, l'ordre ou le statut actif/inactif d'un champ.</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5.3 Supprimer un champ</w:t>
      </w:r>
    </w:p>
    <w:p>
      <w:pPr>
        <w:spacing w:after="80" w:before="80"/>
      </w:pPr>
      <w:r>
        <w:rPr>
          <w:rFonts w:ascii="Arial" w:cs="Arial" w:eastAsia="Arial" w:hAnsi="Arial"/>
          <w:sz w:val="22"/>
          <w:szCs w:val="22"/>
        </w:rPr>
        <w:t xml:space="preserve">Cliquez sur l'icône poubelle. Une confirmation est demandée. Attention : toutes les valeurs associées à ce champ sur les articles existants seront supprimées.</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ℹ️  Exemple de champs utiles pour Vallery : N° RMA, P/N (référence produit), S/N (numéro de série), Désignation, Panne déclarée client, Panne constatée.</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6. Configuration — Workflow</w:t>
      </w:r>
    </w:p>
    <w:p>
      <w:pPr>
        <w:spacing w:after="80" w:before="80"/>
      </w:pPr>
      <w:r>
        <w:rPr>
          <w:rFonts w:ascii="Arial" w:cs="Arial" w:eastAsia="Arial" w:hAnsi="Arial"/>
          <w:sz w:val="22"/>
          <w:szCs w:val="22"/>
        </w:rPr>
        <w:t xml:space="preserve">Accessible via le menu CONFIGURATION &gt; Workflow. Permet de configurer les statuts et transitions qui définissent le cycle de vie des articles sur votre site.</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6.1 Statuts</w:t>
      </w:r>
    </w:p>
    <w:p>
      <w:pPr>
        <w:spacing w:after="80" w:before="80"/>
      </w:pPr>
      <w:r>
        <w:rPr>
          <w:rFonts w:ascii="Arial" w:cs="Arial" w:eastAsia="Arial" w:hAnsi="Arial"/>
          <w:sz w:val="22"/>
          <w:szCs w:val="22"/>
        </w:rPr>
        <w:t xml:space="preserve">Un statut représente une étape dans la vie d'un article (ex : Réception, Diagnostic, En réparation…).</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Champ</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technique unique (ex : EN_REPARATION)</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Label</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Nom affiché à l'utilisateur (ex : En réparation)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Couleur</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Couleur du badge dans le suivi</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Ordre</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Position dans la liste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Final</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Cochez si c'est une étape terminale (ex : Terminé, Irréparable)</w:t>
            </w:r>
          </w:p>
        </w:tc>
      </w:tr>
    </w:tbl>
    <w:p>
      <w:pPr>
        <w:spacing w:after="100" w:before="100"/>
      </w:pPr>
      <w:r>
        <w:t xml:space="preserve"/>
      </w:r>
    </w:p>
    <w:p>
      <w:pPr>
        <w:pStyle w:val="Heading2"/>
        <w:spacing w:after="150" w:before="300"/>
      </w:pPr>
      <w:r>
        <w:rPr>
          <w:rFonts w:ascii="Arial" w:cs="Arial" w:eastAsia="Arial" w:hAnsi="Arial"/>
          <w:b/>
          <w:bCs/>
          <w:color w:val="1E40AF"/>
          <w:sz w:val="26"/>
          <w:szCs w:val="26"/>
        </w:rPr>
        <w:t xml:space="preserve">6.2 Transitions</w:t>
      </w:r>
    </w:p>
    <w:p>
      <w:pPr>
        <w:spacing w:after="80" w:before="80"/>
      </w:pPr>
      <w:r>
        <w:rPr>
          <w:rFonts w:ascii="Arial" w:cs="Arial" w:eastAsia="Arial" w:hAnsi="Arial"/>
          <w:sz w:val="22"/>
          <w:szCs w:val="22"/>
        </w:rPr>
        <w:t xml:space="preserve">Une transition définit le passage d'un statut à un autre via un bouton dans la page Suivi.</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Champ</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Statut de départ</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Vers</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Statut d'arrivée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Label bouton</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Texte du bouton (ex : Envoyer en réparation)</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Couleur</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Couleur du bouton dans le suivi</w:t>
            </w:r>
          </w:p>
        </w:tc>
      </w:tr>
    </w:tbl>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ℹ️  Exemple : transition « Réception → Diagnostic » avec le label « Démarrer diagnostic » affichera ce bouton pour tous les articles en statut Réception.</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7. Base de données</w:t>
      </w:r>
    </w:p>
    <w:p>
      <w:pPr>
        <w:spacing w:after="80" w:before="80"/>
      </w:pPr>
      <w:r>
        <w:rPr>
          <w:rFonts w:ascii="Arial" w:cs="Arial" w:eastAsia="Arial" w:hAnsi="Arial"/>
          <w:sz w:val="22"/>
          <w:szCs w:val="22"/>
        </w:rPr>
        <w:t xml:space="preserve">La section BASE DE DONNÉES regroupe les pages de consultation et de saisie des articles, clients et plateformes. Ces pages sont accessibles depuis la barre de navigation de gauche.</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7.1 Articles / Clients / Plateformes</w:t>
      </w:r>
    </w:p>
    <w:p>
      <w:pPr>
        <w:pStyle w:val="ListParagraph"/>
        <w:numPr>
          <w:ilvl w:val="0"/>
          <w:numId w:val="2"/>
        </w:numPr>
        <w:spacing w:after="60" w:before="60"/>
      </w:pPr>
      <w:r>
        <w:rPr>
          <w:rFonts w:ascii="Arial" w:cs="Arial" w:eastAsia="Arial" w:hAnsi="Arial"/>
          <w:sz w:val="22"/>
          <w:szCs w:val="22"/>
        </w:rPr>
        <w:t xml:space="preserve">Chaque page affiche la liste des enregistrements du site avec les colonnes correspondant aux champs configurés.</w:t>
      </w:r>
    </w:p>
    <w:p>
      <w:pPr>
        <w:pStyle w:val="ListParagraph"/>
        <w:numPr>
          <w:ilvl w:val="0"/>
          <w:numId w:val="2"/>
        </w:numPr>
        <w:spacing w:after="60" w:before="60"/>
      </w:pPr>
      <w:r>
        <w:rPr>
          <w:rFonts w:ascii="Arial" w:cs="Arial" w:eastAsia="Arial" w:hAnsi="Arial"/>
          <w:sz w:val="22"/>
          <w:szCs w:val="22"/>
        </w:rPr>
        <w:t xml:space="preserve">Le bouton « + Ajouter » ouvre un formulaire de saisie avec les champs actifs du site.</w:t>
      </w:r>
    </w:p>
    <w:p>
      <w:pPr>
        <w:pStyle w:val="ListParagraph"/>
        <w:numPr>
          <w:ilvl w:val="0"/>
          <w:numId w:val="2"/>
        </w:numPr>
        <w:spacing w:after="60" w:before="60"/>
      </w:pPr>
      <w:r>
        <w:rPr>
          <w:rFonts w:ascii="Arial" w:cs="Arial" w:eastAsia="Arial" w:hAnsi="Arial"/>
          <w:sz w:val="22"/>
          <w:szCs w:val="22"/>
        </w:rPr>
        <w:t xml:space="preserve">Le bouton poubelle supprime un enregistrement après confirmation.</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ℹ️  Si aucun champ n'est configuré, la page affiche un message vous invitant à passer par la section Configuration avant de saisir des données.</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8. Configuration — Rôles</w:t>
      </w:r>
    </w:p>
    <w:p>
      <w:pPr>
        <w:spacing w:after="80" w:before="80"/>
      </w:pPr>
      <w:r>
        <w:rPr>
          <w:rFonts w:ascii="Arial" w:cs="Arial" w:eastAsia="Arial" w:hAnsi="Arial"/>
          <w:sz w:val="22"/>
          <w:szCs w:val="22"/>
        </w:rPr>
        <w:t xml:space="preserve">Accessible via CONFIGURATION &gt; Rôles. Permet de définir les rôles utilisateurs et leurs droits d'accès page par page.</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8.1 Créer un rôle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Champ</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technique unique (ex : TECHNICIEN, LOGISTICIEN)</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Label</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Nom affiché (ex : Technicien, Logisticien++)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Pages accessibles</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Cochez chaque page que ce rôle peut voir et utiliser</w:t>
            </w:r>
          </w:p>
        </w:tc>
      </w:tr>
    </w:tbl>
    <w:p>
      <w:pPr>
        <w:spacing w:after="100" w:before="100"/>
      </w:pPr>
      <w:r>
        <w:t xml:space="preserve"/>
      </w:r>
    </w:p>
    <w:p>
      <w:pPr>
        <w:pStyle w:val="Heading2"/>
        <w:spacing w:after="150" w:before="300"/>
      </w:pPr>
      <w:r>
        <w:rPr>
          <w:rFonts w:ascii="Arial" w:cs="Arial" w:eastAsia="Arial" w:hAnsi="Arial"/>
          <w:b/>
          <w:bCs/>
          <w:color w:val="1E40AF"/>
          <w:sz w:val="26"/>
          <w:szCs w:val="26"/>
        </w:rPr>
        <w:t xml:space="preserve">8.2 Modifier un rôle</w:t>
      </w:r>
    </w:p>
    <w:p>
      <w:pPr>
        <w:spacing w:after="80" w:before="80"/>
      </w:pPr>
      <w:r>
        <w:rPr>
          <w:rFonts w:ascii="Arial" w:cs="Arial" w:eastAsia="Arial" w:hAnsi="Arial"/>
          <w:sz w:val="22"/>
          <w:szCs w:val="22"/>
        </w:rPr>
        <w:t xml:space="preserve">Cliquez sur l'icône crayon pour modifier le label ou les permissions. Les utilisateurs ayant ce rôle voient leurs accès mis à jour immédiatement à leur prochaine connexion.</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ℹ️  Le rôle ADMIN a accès à toutes les pages par défaut, quelle que soit la configuration.</w:t>
            </w:r>
          </w:p>
        </w:tc>
      </w:tr>
    </w:tbl>
    <w:p>
      <w:pPr>
        <w:spacing w:after="100" w:before="100"/>
      </w:pPr>
      <w:r>
        <w:t xml:space="preserve"/>
      </w:r>
    </w:p>
    <w:p>
      <w:pPr>
        <w:pStyle w:val="Heading1"/>
        <w:spacing w:after="200" w:before="400"/>
      </w:pPr>
      <w:r>
        <w:rPr>
          <w:rFonts w:ascii="Arial" w:cs="Arial" w:eastAsia="Arial" w:hAnsi="Arial"/>
          <w:b/>
          <w:bCs/>
          <w:color w:val="2563EB"/>
          <w:sz w:val="32"/>
          <w:szCs w:val="32"/>
        </w:rPr>
        <w:t xml:space="preserve">9. Configuration — Utilisateurs</w:t>
      </w:r>
    </w:p>
    <w:p>
      <w:pPr>
        <w:spacing w:after="80" w:before="80"/>
      </w:pPr>
      <w:r>
        <w:rPr>
          <w:rFonts w:ascii="Arial" w:cs="Arial" w:eastAsia="Arial" w:hAnsi="Arial"/>
          <w:sz w:val="22"/>
          <w:szCs w:val="22"/>
        </w:rPr>
        <w:t xml:space="preserve">Accessible via CONFIGURATION &gt; Utilisateurs. Permet de créer et gérer les comptes utilisateurs.</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9.1 Créer un utilisateur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Champ</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 de famille de l'utilisateur</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Prénom</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Prénom de l'utilisateur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 de connexion unique</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Rôle</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Rôle attribué (détermine les accès)</w:t>
            </w:r>
          </w:p>
        </w:tc>
      </w:tr>
    </w:tbl>
    <w:p>
      <w:pPr>
        <w:spacing w:after="100" w:before="100"/>
      </w:pPr>
      <w:r>
        <w:t xml:space="preserve"/>
      </w:r>
    </w:p>
    <w:p>
      <w:pPr>
        <w:spacing w:after="80" w:before="80"/>
      </w:pPr>
      <w:r>
        <w:rPr>
          <w:rFonts w:ascii="Arial" w:cs="Arial" w:eastAsia="Arial" w:hAnsi="Arial"/>
          <w:sz w:val="22"/>
          <w:szCs w:val="22"/>
        </w:rPr>
        <w:t xml:space="preserve">À la création, un mot de passe sécurisé est généré automatiquement et affiché une seule fois. Communiquez-le à l'utilisateur — il ne sera plus accessible ensuite.</w:t>
      </w:r>
    </w:p>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FF6FF" w:val="clear"/>
            <w:tcMar>
              <w:top w:type="dxa" w:w="120"/>
              <w:left w:type="dxa" w:w="200"/>
              <w:bottom w:type="dxa" w:w="120"/>
              <w:right w:type="dxa" w:w="200"/>
            </w:tcMar>
          </w:tcPr>
          <w:p>
            <w:r>
              <w:rPr>
                <w:rFonts w:ascii="Arial" w:cs="Arial" w:eastAsia="Arial" w:hAnsi="Arial"/>
                <w:color w:val="1D4ED8"/>
                <w:sz w:val="20"/>
                <w:szCs w:val="20"/>
              </w:rPr>
              <w:t xml:space="preserve">⚠️  Le mot de passe généré est affiché une seule fois. Notez-le avant de fermer la fenêtre.</w:t>
            </w:r>
          </w:p>
        </w:tc>
      </w:tr>
    </w:tbl>
    <w:p>
      <w:pPr>
        <w:spacing w:after="100" w:before="100"/>
      </w:pPr>
      <w:r>
        <w:t xml:space="preserve"/>
      </w:r>
    </w:p>
    <w:p>
      <w:pPr>
        <w:pStyle w:val="Heading2"/>
        <w:spacing w:after="150" w:before="300"/>
      </w:pPr>
      <w:r>
        <w:rPr>
          <w:rFonts w:ascii="Arial" w:cs="Arial" w:eastAsia="Arial" w:hAnsi="Arial"/>
          <w:b/>
          <w:bCs/>
          <w:color w:val="1E40AF"/>
          <w:sz w:val="26"/>
          <w:szCs w:val="26"/>
        </w:rPr>
        <w:t xml:space="preserve">9.2 Premier login — Changement de mot de passe</w:t>
      </w:r>
    </w:p>
    <w:p>
      <w:pPr>
        <w:spacing w:after="80" w:before="80"/>
      </w:pPr>
      <w:r>
        <w:rPr>
          <w:rFonts w:ascii="Arial" w:cs="Arial" w:eastAsia="Arial" w:hAnsi="Arial"/>
          <w:sz w:val="22"/>
          <w:szCs w:val="22"/>
        </w:rPr>
        <w:t xml:space="preserve">À sa première connexion, l'utilisateur est invité à définir son propre mot de passe. Il ne peut pas accéder à l'application tant que ce changement n'est pas effectué.</w:t>
      </w:r>
    </w:p>
    <w:p>
      <w:pPr>
        <w:spacing w:after="100" w:before="100"/>
      </w:pPr>
      <w:r>
        <w:t xml:space="preserve"/>
      </w:r>
    </w:p>
    <w:p>
      <w:pPr>
        <w:spacing w:after="80" w:before="80"/>
      </w:pPr>
      <w:r>
        <w:rPr>
          <w:rFonts w:ascii="Arial" w:cs="Arial" w:eastAsia="Arial" w:hAnsi="Arial"/>
          <w:sz w:val="22"/>
          <w:szCs w:val="22"/>
        </w:rPr>
        <w:t xml:space="preserve">Le nouveau mot de passe doit respecter les règles suivantes :</w:t>
      </w:r>
    </w:p>
    <w:p>
      <w:pPr>
        <w:pStyle w:val="ListParagraph"/>
        <w:numPr>
          <w:ilvl w:val="0"/>
          <w:numId w:val="2"/>
        </w:numPr>
        <w:spacing w:after="60" w:before="60"/>
      </w:pPr>
      <w:r>
        <w:rPr>
          <w:rFonts w:ascii="Arial" w:cs="Arial" w:eastAsia="Arial" w:hAnsi="Arial"/>
          <w:sz w:val="22"/>
          <w:szCs w:val="22"/>
        </w:rPr>
        <w:t xml:space="preserve">10 caractères minimum</w:t>
      </w:r>
    </w:p>
    <w:p>
      <w:pPr>
        <w:pStyle w:val="ListParagraph"/>
        <w:numPr>
          <w:ilvl w:val="0"/>
          <w:numId w:val="2"/>
        </w:numPr>
        <w:spacing w:after="60" w:before="60"/>
      </w:pPr>
      <w:r>
        <w:rPr>
          <w:rFonts w:ascii="Arial" w:cs="Arial" w:eastAsia="Arial" w:hAnsi="Arial"/>
          <w:sz w:val="22"/>
          <w:szCs w:val="22"/>
        </w:rPr>
        <w:t xml:space="preserve">Au moins une majuscule</w:t>
      </w:r>
    </w:p>
    <w:p>
      <w:pPr>
        <w:pStyle w:val="ListParagraph"/>
        <w:numPr>
          <w:ilvl w:val="0"/>
          <w:numId w:val="2"/>
        </w:numPr>
        <w:spacing w:after="60" w:before="60"/>
      </w:pPr>
      <w:r>
        <w:rPr>
          <w:rFonts w:ascii="Arial" w:cs="Arial" w:eastAsia="Arial" w:hAnsi="Arial"/>
          <w:sz w:val="22"/>
          <w:szCs w:val="22"/>
        </w:rPr>
        <w:t xml:space="preserve">Au moins une minuscule</w:t>
      </w:r>
    </w:p>
    <w:p>
      <w:pPr>
        <w:pStyle w:val="ListParagraph"/>
        <w:numPr>
          <w:ilvl w:val="0"/>
          <w:numId w:val="2"/>
        </w:numPr>
        <w:spacing w:after="60" w:before="60"/>
      </w:pPr>
      <w:r>
        <w:rPr>
          <w:rFonts w:ascii="Arial" w:cs="Arial" w:eastAsia="Arial" w:hAnsi="Arial"/>
          <w:sz w:val="22"/>
          <w:szCs w:val="22"/>
        </w:rPr>
        <w:t xml:space="preserve">Au moins un chiffre</w:t>
      </w:r>
    </w:p>
    <w:p>
      <w:pPr>
        <w:pStyle w:val="ListParagraph"/>
        <w:numPr>
          <w:ilvl w:val="0"/>
          <w:numId w:val="2"/>
        </w:numPr>
        <w:spacing w:after="60" w:before="60"/>
      </w:pPr>
      <w:r>
        <w:rPr>
          <w:rFonts w:ascii="Arial" w:cs="Arial" w:eastAsia="Arial" w:hAnsi="Arial"/>
          <w:sz w:val="22"/>
          <w:szCs w:val="22"/>
        </w:rPr>
        <w:t xml:space="preserve">Au moins un caractère spécial parmi : @ # $ % &amp; !</w:t>
      </w:r>
    </w:p>
    <w:p>
      <w:pPr>
        <w:spacing w:after="100" w:before="100"/>
      </w:pPr>
      <w:r>
        <w:t xml:space="preserve"/>
      </w:r>
    </w:p>
    <w:p>
      <w:pPr>
        <w:pStyle w:val="Heading2"/>
        <w:spacing w:after="150" w:before="300"/>
      </w:pPr>
      <w:r>
        <w:rPr>
          <w:rFonts w:ascii="Arial" w:cs="Arial" w:eastAsia="Arial" w:hAnsi="Arial"/>
          <w:b/>
          <w:bCs/>
          <w:color w:val="1E40AF"/>
          <w:sz w:val="26"/>
          <w:szCs w:val="26"/>
        </w:rPr>
        <w:t xml:space="preserve">9.3 Réinitialiser un mot de passe</w:t>
      </w:r>
    </w:p>
    <w:p>
      <w:pPr>
        <w:spacing w:after="80" w:before="80"/>
      </w:pPr>
      <w:r>
        <w:rPr>
          <w:rFonts w:ascii="Arial" w:cs="Arial" w:eastAsia="Arial" w:hAnsi="Arial"/>
          <w:sz w:val="22"/>
          <w:szCs w:val="22"/>
        </w:rPr>
        <w:t xml:space="preserve">En cas d'oubli, l'administrateur peut réinitialiser le mot de passe d'un utilisateur via le bouton de réinitialisation (icône flèche) sur la ligne correspondante. Un nouveau mot de passe provisoire est généré et affiché une seule fois.</w:t>
      </w:r>
    </w:p>
    <w:p>
      <w:pPr>
        <w:spacing w:after="100" w:before="100"/>
      </w:pPr>
      <w:r>
        <w:t xml:space="preserve"/>
      </w:r>
    </w:p>
    <w:p>
      <w:pPr>
        <w:pStyle w:val="Heading1"/>
        <w:spacing w:after="200" w:before="400"/>
      </w:pPr>
      <w:r>
        <w:rPr>
          <w:rFonts w:ascii="Arial" w:cs="Arial" w:eastAsia="Arial" w:hAnsi="Arial"/>
          <w:b/>
          <w:bCs/>
          <w:color w:val="2563EB"/>
          <w:sz w:val="32"/>
          <w:szCs w:val="32"/>
        </w:rPr>
        <w:t xml:space="preserve">10. 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Terme</w:t>
            </w:r>
          </w:p>
        </w:tc>
        <w:tc>
          <w:tcPr>
            <w:tcW w:type="dxa" w:w="6526"/>
            <w:tcBorders>
              <w:top w:val="single" w:color="CCCCCC" w:sz="1"/>
              <w:left w:val="single" w:color="CCCCCC" w:sz="1"/>
              <w:bottom w:val="single" w:color="CCCCCC" w:sz="1"/>
              <w:right w:val="single" w:color="CCCCCC" w:sz="1"/>
            </w:tcBorders>
            <w:shd w:fill="2563EB" w:val="clear"/>
            <w:tcMar>
              <w:top w:type="dxa" w:w="80"/>
              <w:left w:type="dxa" w:w="120"/>
              <w:bottom w:type="dxa" w:w="80"/>
              <w:right w:type="dxa" w:w="120"/>
            </w:tcMar>
            <w:vAlign w:val="center"/>
          </w:tcPr>
          <w:p>
            <w:r>
              <w:rPr>
                <w:rFonts w:ascii="Arial" w:cs="Arial" w:eastAsia="Arial" w:hAnsi="Arial"/>
                <w:b/>
                <w:bCs/>
                <w:color w:val="FFFFFF"/>
                <w:sz w:val="20"/>
                <w:szCs w:val="20"/>
              </w:rPr>
              <w:t xml:space="preserve">Définition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Article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Machine ou terminal suivi dans l'application</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Champ</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Information configurable attachée à un article (ex : N° RMA, S/N)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Statut</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Étape courante d'un article dans le workflow</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Transition</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Action permettant de passer d'un statut à un autre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Workflow</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statuts et transitions configurés pour un site</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WMS</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Warehouse Management System — gestion logistique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Manufacturing Execution System — suivi de production</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Site</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Déploiement client de l'application (ex : Vallery)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JWT</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de sécurité généré à la connexion, valide 8 heures</w:t>
            </w:r>
          </w:p>
        </w:tc>
      </w:tr>
      <w:tr>
        <w:tc>
          <w:tcPr>
            <w:tcW w:type="dxa" w:w="2500"/>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Rôle</w:t>
            </w:r>
          </w:p>
        </w:tc>
        <w:tc>
          <w:tcPr>
            <w:tcW w:type="dxa" w:w="6526"/>
            <w:tcBorders>
              <w:top w:val="single" w:color="CCCCCC" w:sz="1"/>
              <w:left w:val="single" w:color="CCCCCC" w:sz="1"/>
              <w:bottom w:val="single" w:color="CCCCCC" w:sz="1"/>
              <w:right w:val="single" w:color="CCCCCC" w:sz="1"/>
            </w:tcBorders>
            <w:shd w:fill="F9FAFB" w:val="clear"/>
            <w:tcMar>
              <w:top w:type="dxa" w:w="80"/>
              <w:left w:type="dxa" w:w="120"/>
              <w:bottom w:type="dxa" w:w="80"/>
              <w:right w:type="dxa" w:w="120"/>
            </w:tcMar>
          </w:tcPr>
          <w:p>
            <w:r>
              <w:rPr>
                <w:rFonts w:ascii="Arial" w:cs="Arial" w:eastAsia="Arial" w:hAnsi="Arial"/>
                <w:sz w:val="20"/>
                <w:szCs w:val="20"/>
              </w:rPr>
              <w:t xml:space="preserve">Profil utilisateur définissant les pages accessibles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Permission</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d'accès à une page spécifique, accordé via un rôle</w:t>
            </w:r>
          </w:p>
        </w:tc>
      </w:tr>
    </w:tbl>
    <w:p>
      <w:pPr>
        <w:spacing w:after="100" w:before="100"/>
      </w:pPr>
      <w:r>
        <w:t xml:space="preserve"/>
      </w:r>
    </w:p>
    <w:p>
      <w:pPr>
        <w:spacing w:after="100" w:before="100"/>
      </w:pPr>
      <w:r>
        <w:t xml:space="preserve"/>
      </w:r>
    </w:p>
    <w:p>
      <w:pPr>
        <w:spacing w:before="400"/>
        <w:jc w:val="center"/>
      </w:pPr>
      <w:r>
        <w:rPr>
          <w:rFonts w:ascii="Arial" w:cs="Arial" w:eastAsia="Arial" w:hAnsi="Arial"/>
          <w:i/>
          <w:iCs/>
          <w:color w:val="9CA3AF"/>
          <w:sz w:val="18"/>
          <w:szCs w:val="18"/>
        </w:rPr>
        <w:t xml:space="preserve">Document à jour au 29 mai 2026 — Version 0.4.0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1"/>
      </w:pBdr>
      <w:jc w:val="right"/>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r>
      <w:rPr>
        <w:rFonts w:ascii="Arial" w:cs="Arial" w:eastAsia="Arial" w:hAnsi="Arial"/>
        <w:color w:val="9CA3AF"/>
        <w:sz w:val="18"/>
        <w:szCs w:val="18"/>
      </w:rPr>
      <w:t xml:space="preserve"> / </w:t>
    </w:r>
    <w:r>
      <w:rPr>
        <w:rFonts w:ascii="Arial" w:cs="Arial" w:eastAsia="Arial" w:hAnsi="Arial"/>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1"/>
      </w:pBdr>
    </w:pPr>
    <w:r>
      <w:rPr>
        <w:rFonts w:ascii="Arial" w:cs="Arial" w:eastAsia="Arial" w:hAnsi="Arial"/>
        <w:color w:val="6B7280"/>
        <w:sz w:val="18"/>
        <w:szCs w:val="18"/>
      </w:rPr>
      <w:t xml:space="preserve">SMAC — Manuel Utilisateur</w:t>
    </w:r>
    <w:r>
      <w:rPr>
        <w:rFonts w:ascii="Arial" w:cs="Arial" w:eastAsia="Arial" w:hAnsi="Arial"/>
        <w:color w:val="9CA3AF"/>
        <w:sz w:val="18"/>
        <w:szCs w:val="18"/>
      </w:rPr>
      <w:t xml:space="preserve">   |   Suivi et Management des Ateliers et de la Chaîne logistique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2026-05-29T14:53:12.847Z</dcterms:created>
  <dcterms:modified xsi:type="dcterms:W3CDTF">2026-05-29T14:53:12.848Z</dcterms:modified>
</cp:coreProperties>
</file>

<file path=docProps/custom.xml><?xml version="1.0" encoding="utf-8"?>
<Properties xmlns="http://schemas.openxmlformats.org/officeDocument/2006/custom-properties" xmlns:vt="http://schemas.openxmlformats.org/officeDocument/2006/docPropsVTypes"/>
</file>