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E1B4B"/>
          <w:sz w:val="24"/>
          <w:szCs w:val="24"/>
        </w:rPr>
        <w:t xml:space="preserve">APOCAL'IPSSI</w:t>
      </w:r>
    </w:p>
    <w:p>
      <w:pPr>
        <w:pBdr>
          <w:bottom w:val="single" w:color="297AB8" w:sz="6" w:space="4"/>
        </w:pBdr>
        <w:spacing w:after="240"/>
      </w:pPr>
      <w:r>
        <w:rPr>
          <w:b/>
          <w:bCs/>
          <w:color w:val="297AB8"/>
          <w:sz w:val="18"/>
          <w:szCs w:val="18"/>
        </w:rPr>
        <w:t xml:space="preserve">PERTURBATION J2 · TECHNIQUE · LIVRABLE</w:t>
      </w:r>
    </w:p>
    <w:p>
      <w:pPr>
        <w:spacing w:after="80"/>
      </w:pPr>
      <w:r>
        <w:rPr>
          <w:b/>
          <w:bCs/>
          <w:color w:val="297AB8"/>
          <w:sz w:val="28"/>
          <w:szCs w:val="28"/>
        </w:rPr>
        <w:t xml:space="preserve">ADR-0003</w:t>
      </w:r>
    </w:p>
    <w:p>
      <w:pPr>
        <w:spacing w:after="120"/>
      </w:pPr>
      <w:r>
        <w:rPr>
          <w:b/>
          <w:bCs/>
          <w:color w:val="1E1B4B"/>
          <w:sz w:val="44"/>
          <w:szCs w:val="44"/>
        </w:rPr>
        <w:t xml:space="preserve">Migration du moteur LLM de génération de quiz</w:t>
      </w:r>
    </w:p>
    <w:p>
      <w:pPr>
        <w:spacing w:after="200"/>
      </w:pPr>
      <w:r>
        <w:rPr>
          <w:i/>
          <w:iCs/>
          <w:color w:val="475569"/>
          <w:sz w:val="22"/>
          <w:szCs w:val="22"/>
        </w:rPr>
        <w:t xml:space="preserve">Architecture Decision Record (format Michael Nygard étendu) — choix du modèle de génération pour la story US-03, sous contrainte de latence (&lt; 60 s) et de souveraineté (100 % local).</w:t>
      </w:r>
    </w:p>
    <w:p>
      <w:pPr>
        <w:spacing w:after="60"/>
      </w:pPr>
      <w:r>
        <w:rPr>
          <w:b/>
          <w:bCs/>
          <w:color w:val="1E1B4B"/>
          <w:sz w:val="20"/>
          <w:szCs w:val="20"/>
        </w:rPr>
        <w:t xml:space="preserve">Projet EduTutor IA · Équipe 3 · Édition 2026 · Semaine immersive Scrum</w:t>
      </w:r>
    </w:p>
    <w:p>
      <w:pPr>
        <w:spacing w:after="240"/>
      </w:pPr>
      <w:r>
        <w:rPr>
          <w:i/>
          <w:iCs/>
          <w:color w:val="475569"/>
          <w:sz w:val="18"/>
          <w:szCs w:val="18"/>
        </w:rPr>
        <w:t xml:space="preserve">Mesurer · Comparer · Documenter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9C4D4" w:sz="1"/>
              <w:left w:val="single" w:color="B9C4D4" w:sz="1"/>
              <w:bottom w:val="single" w:color="B9C4D4" w:sz="1"/>
              <w:right w:val="single" w:color="B9C4D4" w:sz="1"/>
            </w:tcBorders>
            <w:shd w:fill="1E1B4B" w:val="clear"/>
            <w:tcMar>
              <w:top w:type="dxa" w:w="60"/>
              <w:left w:type="dxa" w:w="120"/>
              <w:bottom w:type="dxa" w:w="60"/>
              <w:right w:type="dxa" w:w="120"/>
            </w:tcMar>
            <w:vAlign w:val="center"/>
          </w:tcPr>
          <w:p>
            <w:r>
              <w:rPr>
                <w:b/>
                <w:bCs/>
                <w:color w:val="FFFFFF"/>
                <w:sz w:val="19"/>
                <w:szCs w:val="19"/>
              </w:rPr>
              <w:t xml:space="preserve">IDENTIFICATION DU DOCUMENT</w:t>
            </w:r>
          </w:p>
        </w:tc>
        <w:tc>
          <w:tcPr>
            <w:tcW w:type="dxa" w:w="6760"/>
            <w:tcBorders>
              <w:top w:val="single" w:color="B9C4D4" w:sz="1"/>
              <w:left w:val="single" w:color="B9C4D4" w:sz="1"/>
              <w:bottom w:val="single" w:color="B9C4D4" w:sz="1"/>
              <w:right w:val="single" w:color="B9C4D4" w:sz="1"/>
            </w:tcBorders>
            <w:shd w:fill="1E1B4B" w:val="clear"/>
            <w:tcMar>
              <w:top w:type="dxa" w:w="60"/>
              <w:left w:type="dxa" w:w="120"/>
              <w:bottom w:type="dxa" w:w="60"/>
              <w:right w:type="dxa" w:w="120"/>
            </w:tcMar>
            <w:vAlign w:val="center"/>
          </w:tcPr>
          <w:p>
            <w:r>
              <w:rPr>
                <w:b w:val="false"/>
                <w:bCs w:val="false"/>
                <w:color w:val="1A1A1A"/>
                <w:sz w:val="19"/>
                <w:szCs w:val="19"/>
              </w:rPr>
              <w:t xml:space="preserve"/>
            </w:r>
          </w:p>
        </w:tc>
      </w:tr>
      <w:tr>
        <w:tc>
          <w:tcPr>
            <w:tcW w:type="dxa" w:w="2600"/>
            <w:tcBorders>
              <w:top w:val="single" w:color="B9C4D4" w:sz="1"/>
              <w:left w:val="single" w:color="B9C4D4" w:sz="1"/>
              <w:bottom w:val="single" w:color="B9C4D4" w:sz="1"/>
              <w:right w:val="single" w:color="B9C4D4" w:sz="1"/>
            </w:tcBorders>
            <w:shd w:fill="EBF3FA" w:val="clear"/>
            <w:tcMar>
              <w:top w:type="dxa" w:w="60"/>
              <w:left w:type="dxa" w:w="120"/>
              <w:bottom w:type="dxa" w:w="60"/>
              <w:right w:type="dxa" w:w="120"/>
            </w:tcMar>
            <w:vAlign w:val="center"/>
          </w:tcPr>
          <w:p>
            <w:r>
              <w:rPr>
                <w:b/>
                <w:bCs/>
                <w:color w:val="1E1B4B"/>
                <w:sz w:val="19"/>
                <w:szCs w:val="19"/>
              </w:rPr>
              <w:t xml:space="preserve">Équipe n°</w:t>
            </w:r>
          </w:p>
        </w:tc>
        <w:tc>
          <w:tcPr>
            <w:tcW w:type="dxa" w:w="6760"/>
            <w:tcBorders>
              <w:top w:val="single" w:color="B9C4D4" w:sz="1"/>
              <w:left w:val="single" w:color="B9C4D4" w:sz="1"/>
              <w:bottom w:val="single" w:color="B9C4D4" w:sz="1"/>
              <w:right w:val="single" w:color="B9C4D4" w:sz="1"/>
            </w:tcBorders>
            <w:tcMar>
              <w:top w:type="dxa" w:w="60"/>
              <w:left w:type="dxa" w:w="120"/>
              <w:bottom w:type="dxa" w:w="60"/>
              <w:right w:type="dxa" w:w="120"/>
            </w:tcMar>
            <w:vAlign w:val="center"/>
          </w:tcPr>
          <w:p>
            <w:r>
              <w:rPr>
                <w:b w:val="false"/>
                <w:bCs w:val="false"/>
                <w:color w:val="1A1A1A"/>
                <w:sz w:val="19"/>
                <w:szCs w:val="19"/>
              </w:rPr>
              <w:t xml:space="preserve">Équipe 3</w:t>
            </w:r>
          </w:p>
        </w:tc>
      </w:tr>
      <w:tr>
        <w:tc>
          <w:tcPr>
            <w:tcW w:type="dxa" w:w="2600"/>
            <w:tcBorders>
              <w:top w:val="single" w:color="B9C4D4" w:sz="1"/>
              <w:left w:val="single" w:color="B9C4D4" w:sz="1"/>
              <w:bottom w:val="single" w:color="B9C4D4" w:sz="1"/>
              <w:right w:val="single" w:color="B9C4D4" w:sz="1"/>
            </w:tcBorders>
            <w:shd w:fill="EBF3FA" w:val="clear"/>
            <w:tcMar>
              <w:top w:type="dxa" w:w="60"/>
              <w:left w:type="dxa" w:w="120"/>
              <w:bottom w:type="dxa" w:w="60"/>
              <w:right w:type="dxa" w:w="120"/>
            </w:tcMar>
            <w:vAlign w:val="center"/>
          </w:tcPr>
          <w:p>
            <w:r>
              <w:rPr>
                <w:b/>
                <w:bCs/>
                <w:color w:val="1E1B4B"/>
                <w:sz w:val="19"/>
                <w:szCs w:val="19"/>
              </w:rPr>
              <w:t xml:space="preserve">Membres</w:t>
            </w:r>
          </w:p>
        </w:tc>
        <w:tc>
          <w:tcPr>
            <w:tcW w:type="dxa" w:w="6760"/>
            <w:tcBorders>
              <w:top w:val="single" w:color="B9C4D4" w:sz="1"/>
              <w:left w:val="single" w:color="B9C4D4" w:sz="1"/>
              <w:bottom w:val="single" w:color="B9C4D4" w:sz="1"/>
              <w:right w:val="single" w:color="B9C4D4" w:sz="1"/>
            </w:tcBorders>
            <w:tcMar>
              <w:top w:type="dxa" w:w="60"/>
              <w:left w:type="dxa" w:w="120"/>
              <w:bottom w:type="dxa" w:w="60"/>
              <w:right w:type="dxa" w:w="120"/>
            </w:tcMar>
            <w:vAlign w:val="center"/>
          </w:tcPr>
          <w:p>
            <w:r>
              <w:rPr>
                <w:b w:val="false"/>
                <w:bCs w:val="false"/>
                <w:color w:val="1A1A1A"/>
                <w:sz w:val="19"/>
                <w:szCs w:val="19"/>
              </w:rPr>
              <w:t xml:space="preserve">Dillon AZAG, Youcef OULD KACI, Ahmed SADDIKI, Erwan MARCHAND, Steven JANSENS, Rayan Degane WAFO MBE, Nassim DEFLANDRE</w:t>
            </w:r>
          </w:p>
        </w:tc>
      </w:tr>
      <w:tr>
        <w:tc>
          <w:tcPr>
            <w:tcW w:type="dxa" w:w="2600"/>
            <w:tcBorders>
              <w:top w:val="single" w:color="B9C4D4" w:sz="1"/>
              <w:left w:val="single" w:color="B9C4D4" w:sz="1"/>
              <w:bottom w:val="single" w:color="B9C4D4" w:sz="1"/>
              <w:right w:val="single" w:color="B9C4D4" w:sz="1"/>
            </w:tcBorders>
            <w:shd w:fill="EBF3FA" w:val="clear"/>
            <w:tcMar>
              <w:top w:type="dxa" w:w="60"/>
              <w:left w:type="dxa" w:w="120"/>
              <w:bottom w:type="dxa" w:w="60"/>
              <w:right w:type="dxa" w:w="120"/>
            </w:tcMar>
            <w:vAlign w:val="center"/>
          </w:tcPr>
          <w:p>
            <w:r>
              <w:rPr>
                <w:b/>
                <w:bCs/>
                <w:color w:val="1E1B4B"/>
                <w:sz w:val="19"/>
                <w:szCs w:val="19"/>
              </w:rPr>
              <w:t xml:space="preserve">Sprint concerne</w:t>
            </w:r>
          </w:p>
        </w:tc>
        <w:tc>
          <w:tcPr>
            <w:tcW w:type="dxa" w:w="6760"/>
            <w:tcBorders>
              <w:top w:val="single" w:color="B9C4D4" w:sz="1"/>
              <w:left w:val="single" w:color="B9C4D4" w:sz="1"/>
              <w:bottom w:val="single" w:color="B9C4D4" w:sz="1"/>
              <w:right w:val="single" w:color="B9C4D4" w:sz="1"/>
            </w:tcBorders>
            <w:tcMar>
              <w:top w:type="dxa" w:w="60"/>
              <w:left w:type="dxa" w:w="120"/>
              <w:bottom w:type="dxa" w:w="60"/>
              <w:right w:type="dxa" w:w="120"/>
            </w:tcMar>
            <w:vAlign w:val="center"/>
          </w:tcPr>
          <w:p>
            <w:r>
              <w:rPr>
                <w:b w:val="false"/>
                <w:bCs w:val="false"/>
                <w:color w:val="1A1A1A"/>
                <w:sz w:val="19"/>
                <w:szCs w:val="19"/>
              </w:rPr>
              <w:t xml:space="preserve">Sprint 2 — perturbation J2 (décision technique : moteur LLM)</w:t>
            </w:r>
          </w:p>
        </w:tc>
      </w:tr>
      <w:tr>
        <w:tc>
          <w:tcPr>
            <w:tcW w:type="dxa" w:w="2600"/>
            <w:tcBorders>
              <w:top w:val="single" w:color="B9C4D4" w:sz="1"/>
              <w:left w:val="single" w:color="B9C4D4" w:sz="1"/>
              <w:bottom w:val="single" w:color="B9C4D4" w:sz="1"/>
              <w:right w:val="single" w:color="B9C4D4" w:sz="1"/>
            </w:tcBorders>
            <w:shd w:fill="EBF3FA" w:val="clear"/>
            <w:tcMar>
              <w:top w:type="dxa" w:w="60"/>
              <w:left w:type="dxa" w:w="120"/>
              <w:bottom w:type="dxa" w:w="60"/>
              <w:right w:type="dxa" w:w="120"/>
            </w:tcMar>
            <w:vAlign w:val="center"/>
          </w:tcPr>
          <w:p>
            <w:r>
              <w:rPr>
                <w:b/>
                <w:bCs/>
                <w:color w:val="1E1B4B"/>
                <w:sz w:val="19"/>
                <w:szCs w:val="19"/>
              </w:rPr>
              <w:t xml:space="preserve">Référence ADR</w:t>
            </w:r>
          </w:p>
        </w:tc>
        <w:tc>
          <w:tcPr>
            <w:tcW w:type="dxa" w:w="6760"/>
            <w:tcBorders>
              <w:top w:val="single" w:color="B9C4D4" w:sz="1"/>
              <w:left w:val="single" w:color="B9C4D4" w:sz="1"/>
              <w:bottom w:val="single" w:color="B9C4D4" w:sz="1"/>
              <w:right w:val="single" w:color="B9C4D4" w:sz="1"/>
            </w:tcBorders>
            <w:tcMar>
              <w:top w:type="dxa" w:w="60"/>
              <w:left w:type="dxa" w:w="120"/>
              <w:bottom w:type="dxa" w:w="60"/>
              <w:right w:type="dxa" w:w="120"/>
            </w:tcMar>
            <w:vAlign w:val="center"/>
          </w:tcPr>
          <w:p>
            <w:r>
              <w:rPr>
                <w:b w:val="false"/>
                <w:bCs w:val="false"/>
                <w:color w:val="1A1A1A"/>
                <w:sz w:val="19"/>
                <w:szCs w:val="19"/>
              </w:rPr>
              <w:t xml:space="preserve">ADR-0003</w:t>
            </w:r>
          </w:p>
        </w:tc>
      </w:tr>
      <w:tr>
        <w:tc>
          <w:tcPr>
            <w:tcW w:type="dxa" w:w="2600"/>
            <w:tcBorders>
              <w:top w:val="single" w:color="B9C4D4" w:sz="1"/>
              <w:left w:val="single" w:color="B9C4D4" w:sz="1"/>
              <w:bottom w:val="single" w:color="B9C4D4" w:sz="1"/>
              <w:right w:val="single" w:color="B9C4D4" w:sz="1"/>
            </w:tcBorders>
            <w:shd w:fill="EBF3FA" w:val="clear"/>
            <w:tcMar>
              <w:top w:type="dxa" w:w="60"/>
              <w:left w:type="dxa" w:w="120"/>
              <w:bottom w:type="dxa" w:w="60"/>
              <w:right w:type="dxa" w:w="120"/>
            </w:tcMar>
            <w:vAlign w:val="center"/>
          </w:tcPr>
          <w:p>
            <w:r>
              <w:rPr>
                <w:b/>
                <w:bCs/>
                <w:color w:val="1E1B4B"/>
                <w:sz w:val="19"/>
                <w:szCs w:val="19"/>
              </w:rPr>
              <w:t xml:space="preserve">Statut</w:t>
            </w:r>
          </w:p>
        </w:tc>
        <w:tc>
          <w:tcPr>
            <w:tcW w:type="dxa" w:w="6760"/>
            <w:tcBorders>
              <w:top w:val="single" w:color="B9C4D4" w:sz="1"/>
              <w:left w:val="single" w:color="B9C4D4" w:sz="1"/>
              <w:bottom w:val="single" w:color="B9C4D4" w:sz="1"/>
              <w:right w:val="single" w:color="B9C4D4" w:sz="1"/>
            </w:tcBorders>
            <w:tcMar>
              <w:top w:type="dxa" w:w="60"/>
              <w:left w:type="dxa" w:w="120"/>
              <w:bottom w:type="dxa" w:w="60"/>
              <w:right w:type="dxa" w:w="120"/>
            </w:tcMar>
            <w:vAlign w:val="center"/>
          </w:tcPr>
          <w:p>
            <w:r>
              <w:rPr>
                <w:b w:val="false"/>
                <w:bCs w:val="false"/>
                <w:color w:val="1A1A1A"/>
                <w:sz w:val="19"/>
                <w:szCs w:val="19"/>
              </w:rPr>
              <w:t xml:space="preserve">Proposé — validation PO en attente de confirmation par la mesure</w:t>
            </w:r>
          </w:p>
        </w:tc>
      </w:tr>
      <w:tr>
        <w:tc>
          <w:tcPr>
            <w:tcW w:type="dxa" w:w="2600"/>
            <w:tcBorders>
              <w:top w:val="single" w:color="B9C4D4" w:sz="1"/>
              <w:left w:val="single" w:color="B9C4D4" w:sz="1"/>
              <w:bottom w:val="single" w:color="B9C4D4" w:sz="1"/>
              <w:right w:val="single" w:color="B9C4D4" w:sz="1"/>
            </w:tcBorders>
            <w:shd w:fill="EBF3FA" w:val="clear"/>
            <w:tcMar>
              <w:top w:type="dxa" w:w="60"/>
              <w:left w:type="dxa" w:w="120"/>
              <w:bottom w:type="dxa" w:w="60"/>
              <w:right w:type="dxa" w:w="120"/>
            </w:tcMar>
            <w:vAlign w:val="center"/>
          </w:tcPr>
          <w:p>
            <w:r>
              <w:rPr>
                <w:b/>
                <w:bCs/>
                <w:color w:val="1E1B4B"/>
                <w:sz w:val="19"/>
                <w:szCs w:val="19"/>
              </w:rPr>
              <w:t xml:space="preserve">Version</w:t>
            </w:r>
          </w:p>
        </w:tc>
        <w:tc>
          <w:tcPr>
            <w:tcW w:type="dxa" w:w="6760"/>
            <w:tcBorders>
              <w:top w:val="single" w:color="B9C4D4" w:sz="1"/>
              <w:left w:val="single" w:color="B9C4D4" w:sz="1"/>
              <w:bottom w:val="single" w:color="B9C4D4" w:sz="1"/>
              <w:right w:val="single" w:color="B9C4D4" w:sz="1"/>
            </w:tcBorders>
            <w:tcMar>
              <w:top w:type="dxa" w:w="60"/>
              <w:left w:type="dxa" w:w="120"/>
              <w:bottom w:type="dxa" w:w="60"/>
              <w:right w:type="dxa" w:w="120"/>
            </w:tcMar>
            <w:vAlign w:val="center"/>
          </w:tcPr>
          <w:p>
            <w:r>
              <w:rPr>
                <w:b w:val="false"/>
                <w:bCs w:val="false"/>
                <w:color w:val="1A1A1A"/>
                <w:sz w:val="19"/>
                <w:szCs w:val="19"/>
              </w:rPr>
              <w:t xml:space="preserve">v1.0 (initiale)</w:t>
            </w:r>
          </w:p>
        </w:tc>
      </w:tr>
      <w:tr>
        <w:tc>
          <w:tcPr>
            <w:tcW w:type="dxa" w:w="2600"/>
            <w:tcBorders>
              <w:top w:val="single" w:color="B9C4D4" w:sz="1"/>
              <w:left w:val="single" w:color="B9C4D4" w:sz="1"/>
              <w:bottom w:val="single" w:color="B9C4D4" w:sz="1"/>
              <w:right w:val="single" w:color="B9C4D4" w:sz="1"/>
            </w:tcBorders>
            <w:shd w:fill="EBF3FA" w:val="clear"/>
            <w:tcMar>
              <w:top w:type="dxa" w:w="60"/>
              <w:left w:type="dxa" w:w="120"/>
              <w:bottom w:type="dxa" w:w="60"/>
              <w:right w:type="dxa" w:w="120"/>
            </w:tcMar>
            <w:vAlign w:val="center"/>
          </w:tcPr>
          <w:p>
            <w:r>
              <w:rPr>
                <w:b/>
                <w:bCs/>
                <w:color w:val="1E1B4B"/>
                <w:sz w:val="19"/>
                <w:szCs w:val="19"/>
              </w:rPr>
              <w:t xml:space="preserve">Date</w:t>
            </w:r>
          </w:p>
        </w:tc>
        <w:tc>
          <w:tcPr>
            <w:tcW w:type="dxa" w:w="6760"/>
            <w:tcBorders>
              <w:top w:val="single" w:color="B9C4D4" w:sz="1"/>
              <w:left w:val="single" w:color="B9C4D4" w:sz="1"/>
              <w:bottom w:val="single" w:color="B9C4D4" w:sz="1"/>
              <w:right w:val="single" w:color="B9C4D4" w:sz="1"/>
            </w:tcBorders>
            <w:tcMar>
              <w:top w:type="dxa" w:w="60"/>
              <w:left w:type="dxa" w:w="120"/>
              <w:bottom w:type="dxa" w:w="60"/>
              <w:right w:type="dxa" w:w="120"/>
            </w:tcMar>
            <w:vAlign w:val="center"/>
          </w:tcPr>
          <w:p>
            <w:r>
              <w:rPr>
                <w:b w:val="false"/>
                <w:bCs w:val="false"/>
                <w:color w:val="1A1A1A"/>
                <w:sz w:val="19"/>
                <w:szCs w:val="19"/>
              </w:rPr>
              <w:t xml:space="preserve">30/06/2026  18h00</w:t>
            </w:r>
          </w:p>
        </w:tc>
      </w:tr>
      <w:tr>
        <w:tc>
          <w:tcPr>
            <w:tcW w:type="dxa" w:w="2600"/>
            <w:tcBorders>
              <w:top w:val="single" w:color="B9C4D4" w:sz="1"/>
              <w:left w:val="single" w:color="B9C4D4" w:sz="1"/>
              <w:bottom w:val="single" w:color="B9C4D4" w:sz="1"/>
              <w:right w:val="single" w:color="B9C4D4" w:sz="1"/>
            </w:tcBorders>
            <w:shd w:fill="EBF3FA" w:val="clear"/>
            <w:tcMar>
              <w:top w:type="dxa" w:w="60"/>
              <w:left w:type="dxa" w:w="120"/>
              <w:bottom w:type="dxa" w:w="60"/>
              <w:right w:type="dxa" w:w="120"/>
            </w:tcMar>
            <w:vAlign w:val="center"/>
          </w:tcPr>
          <w:p>
            <w:r>
              <w:rPr>
                <w:b/>
                <w:bCs/>
                <w:color w:val="1E1B4B"/>
                <w:sz w:val="19"/>
                <w:szCs w:val="19"/>
              </w:rPr>
              <w:t xml:space="preserve">Décideur(s)</w:t>
            </w:r>
          </w:p>
        </w:tc>
        <w:tc>
          <w:tcPr>
            <w:tcW w:type="dxa" w:w="6760"/>
            <w:tcBorders>
              <w:top w:val="single" w:color="B9C4D4" w:sz="1"/>
              <w:left w:val="single" w:color="B9C4D4" w:sz="1"/>
              <w:bottom w:val="single" w:color="B9C4D4" w:sz="1"/>
              <w:right w:val="single" w:color="B9C4D4" w:sz="1"/>
            </w:tcBorders>
            <w:tcMar>
              <w:top w:type="dxa" w:w="60"/>
              <w:left w:type="dxa" w:w="120"/>
              <w:bottom w:type="dxa" w:w="60"/>
              <w:right w:type="dxa" w:w="120"/>
            </w:tcMar>
            <w:vAlign w:val="center"/>
          </w:tcPr>
          <w:p>
            <w:r>
              <w:rPr>
                <w:b w:val="false"/>
                <w:bCs w:val="false"/>
                <w:color w:val="1A1A1A"/>
                <w:sz w:val="19"/>
                <w:szCs w:val="19"/>
              </w:rPr>
              <w:t xml:space="preserve">Product Owner + équipe technique (pair/mob-programming)</w:t>
            </w:r>
          </w:p>
        </w:tc>
      </w:tr>
    </w:tbl>
    <w:p>
      <w:r>
        <w:br w:type="page"/>
      </w:r>
    </w:p>
    <w:p>
      <w:pPr>
        <w:pStyle w:val="Heading1"/>
        <w:spacing w:after="140" w:before="280"/>
      </w:pPr>
      <w:r>
        <w:rPr>
          <w:rFonts w:ascii="Arial" w:cs="Arial" w:eastAsia="Arial" w:hAnsi="Arial"/>
          <w:b/>
          <w:bCs/>
          <w:color w:val="1E1B4B"/>
        </w:rPr>
        <w:t xml:space="preserve">Sommaire</w:t>
      </w:r>
    </w:p>
    <w:sdt>
      <w:sdtPr>
        <w:alias w:val="Sommaire"/>
      </w:sdtPr>
      <w:sdtContent>
        <w:p>
          <w:r>
            <w:fldChar w:fldCharType="begin" w:dirty="true"/>
            <w:instrText xml:space="preserve">TOC \h \o "1-2"</w:instrText>
            <w:fldChar w:fldCharType="separate"/>
          </w:r>
        </w:p>
        <w:p>
          <w:r>
            <w:fldChar w:fldCharType="end"/>
          </w:r>
        </w:p>
      </w:sdtContent>
    </w:sdt>
    <w:p>
      <w:pPr>
        <w:spacing w:after="120" w:before="80" w:line="276"/>
      </w:pPr>
      <w:r>
        <w:rPr>
          <w:i/>
          <w:iCs/>
          <w:color w:val="475569"/>
          <w:sz w:val="18"/>
          <w:szCs w:val="18"/>
        </w:rPr>
        <w:t xml:space="preserve">(Clic droit sur le sommaire puis « Mettre à jour les champs », ou touche F9, pour générer les liens.)</w:t>
      </w:r>
    </w:p>
    <w:p>
      <w:r>
        <w:br w:type="page"/>
      </w:r>
    </w:p>
    <w:p>
      <w:pPr>
        <w:pStyle w:val="Heading1"/>
        <w:spacing w:after="140" w:before="280"/>
      </w:pPr>
      <w:r>
        <w:rPr>
          <w:rFonts w:ascii="Arial" w:cs="Arial" w:eastAsia="Arial" w:hAnsi="Arial"/>
          <w:b/>
          <w:bCs/>
          <w:color w:val="1E1B4B"/>
        </w:rPr>
        <w:t xml:space="preserve">Préambule — qu'est-ce qu'un ADR ?</w:t>
      </w:r>
    </w:p>
    <w:p>
      <w:pPr>
        <w:spacing w:after="120" w:before="0" w:line="276"/>
      </w:pPr>
      <w:r>
        <w:rPr>
          <w:color w:val="1A1A1A"/>
          <w:sz w:val="21"/>
          <w:szCs w:val="21"/>
        </w:rPr>
        <w:t xml:space="preserve">Un Architecture Decision Record (ADR), formalisé par Michael Nygard, capture une décision technique structurante : son contexte, les options envisagées, la décision retenue et ses conséquences. Il rend la décision traçable et révisable. On en écrit un nouveau lorsqu'un choix engage l'architecture ou contraint les développements suivants.</w:t>
      </w:r>
    </w:p>
    <w:p>
      <w:pPr>
        <w:spacing w:after="120" w:line="276"/>
      </w:pPr>
      <w:r>
        <w:rPr>
          <w:b/>
          <w:bCs/>
          <w:color w:val="1E1B4B"/>
          <w:sz w:val="21"/>
          <w:szCs w:val="21"/>
        </w:rPr>
        <w:t xml:space="preserve">Pourquoi celui-ci ? </w:t>
      </w:r>
      <w:r>
        <w:rPr>
          <w:color w:val="1A1A1A"/>
          <w:sz w:val="21"/>
          <w:szCs w:val="21"/>
        </w:rPr>
        <w:t xml:space="preserve">La perturbation J2 porte sur une décision technique liée à notre choix initial de modèle LLM. Plutôt que de migrer « au feeling », nous mesurons (benchmark reproductible), comparons (4 options) et documentons (cet ADR).</w:t>
      </w:r>
    </w:p>
    <w:p>
      <w:pPr>
        <w:pStyle w:val="Heading1"/>
        <w:spacing w:after="140" w:before="280"/>
      </w:pPr>
      <w:r>
        <w:rPr>
          <w:rFonts w:ascii="Arial" w:cs="Arial" w:eastAsia="Arial" w:hAnsi="Arial"/>
          <w:b/>
          <w:bCs/>
          <w:color w:val="1E1B4B"/>
        </w:rPr>
        <w:t xml:space="preserve">1. Contexte et problème</w:t>
      </w:r>
    </w:p>
    <w:p>
      <w:pPr>
        <w:spacing w:after="120" w:before="0" w:line="276"/>
      </w:pPr>
      <w:r>
        <w:rPr>
          <w:color w:val="1A1A1A"/>
          <w:sz w:val="21"/>
          <w:szCs w:val="21"/>
        </w:rPr>
        <w:t xml:space="preserve">La story US-03 (génération automatique de 10 QCM à partir d'un cours) doit livrer un quiz en moins de 60 secondes, condition d'usage validée dans le Customer Journey (le décrochage de la persona Léa survient si la génération échoue ou dépasse ce seuil). Le produit fonctionne 100 % en local via Ollama : la souveraineté des données scolaires est un différenciateur non négociable face aux concurrents cloud.</w:t>
      </w:r>
    </w:p>
    <w:p>
      <w:pPr>
        <w:spacing w:after="120" w:line="276"/>
      </w:pPr>
      <w:r>
        <w:rPr>
          <w:b/>
          <w:bCs/>
          <w:color w:val="1E1B4B"/>
          <w:sz w:val="21"/>
          <w:szCs w:val="21"/>
        </w:rPr>
        <w:t xml:space="preserve">Déclencheur (J2). </w:t>
      </w:r>
      <w:r>
        <w:rPr>
          <w:color w:val="1A1A1A"/>
          <w:sz w:val="21"/>
          <w:szCs w:val="21"/>
        </w:rPr>
        <w:t xml:space="preserve">Le modèle initial, Llama 3.1 8B (~4,7 Go), produit des quiz de qualité mais sa latence menace le seuil des 60 s sur le matériel cible (machines étudiantes/enseignantes modestes, souvent sans GPU dédié). La perturbation impose d'arbitrer un éventuel changement de modèle, preuve à l'appui.</w:t>
      </w:r>
    </w:p>
    <w:p>
      <w:pPr>
        <w:spacing w:after="120" w:line="276"/>
      </w:pPr>
      <w:r>
        <w:rPr>
          <w:b/>
          <w:bCs/>
          <w:color w:val="1E1B4B"/>
          <w:sz w:val="21"/>
          <w:szCs w:val="21"/>
        </w:rPr>
        <w:t xml:space="preserve">Contraintes. </w:t>
      </w:r>
      <w:r>
        <w:rPr>
          <w:color w:val="1A1A1A"/>
          <w:sz w:val="21"/>
          <w:szCs w:val="21"/>
        </w:rPr>
        <w:t xml:space="preserve">(1) rester 100 % local — aucune donnée ne quitte le serveur ; (2) préserver la qualité pédagogique en FRANÇAIS, langue de nos personas ; (3) tenir le &lt; 60 s ; (4) rester sobre en RAM pour une démo fluide.</w:t>
      </w:r>
    </w:p>
    <w:p>
      <w:pPr>
        <w:pStyle w:val="Heading1"/>
        <w:spacing w:after="140" w:before="280"/>
      </w:pPr>
      <w:r>
        <w:rPr>
          <w:rFonts w:ascii="Arial" w:cs="Arial" w:eastAsia="Arial" w:hAnsi="Arial"/>
          <w:b/>
          <w:bCs/>
          <w:color w:val="1E1B4B"/>
        </w:rPr>
        <w:t xml:space="preserve">2. Décision</w:t>
      </w:r>
    </w:p>
    <w:p>
      <w:pPr>
        <w:spacing w:after="120" w:before="0" w:line="276"/>
      </w:pPr>
      <w:r>
        <w:rPr>
          <w:sz w:val="21"/>
          <w:szCs w:val="21"/>
        </w:rPr>
        <w:t xml:space="preserve">Nous migrons le moteur de génération de quiz de </w:t>
      </w:r>
      <w:r>
        <w:rPr>
          <w:b/>
          <w:bCs/>
          <w:sz w:val="21"/>
          <w:szCs w:val="21"/>
        </w:rPr>
        <w:t xml:space="preserve">Llama 3.1 8B</w:t>
      </w:r>
      <w:r>
        <w:rPr>
          <w:sz w:val="21"/>
          <w:szCs w:val="21"/>
        </w:rPr>
        <w:t xml:space="preserve"> vers un modèle local plus léger. Au vu du benchmark, le candidat retenu est </w:t>
      </w:r>
      <w:r>
        <w:rPr>
          <w:b/>
          <w:bCs/>
          <w:color w:val="16A34A"/>
          <w:sz w:val="21"/>
          <w:szCs w:val="21"/>
        </w:rPr>
        <w:t xml:space="preserve">Qwen2.5 7B</w:t>
      </w:r>
      <w:r>
        <w:rPr>
          <w:sz w:val="21"/>
          <w:szCs w:val="21"/>
        </w:rPr>
        <w:t xml:space="preserve"> (meilleur compromis qualité française / latence, licence permissive Apache 2.0). </w:t>
      </w:r>
      <w:r>
        <w:rPr>
          <w:b/>
          <w:bCs/>
          <w:color w:val="B45309"/>
          <w:sz w:val="21"/>
          <w:szCs w:val="21"/>
        </w:rPr>
        <w:t xml:space="preserve">Phi-3-mini</w:t>
      </w:r>
      <w:r>
        <w:rPr>
          <w:sz w:val="21"/>
          <w:szCs w:val="21"/>
        </w:rPr>
        <w:t xml:space="preserve"> est conservé comme repli si la contrainte matérielle est forte et si sa qualité FR mesurée reste acceptable ; </w:t>
      </w:r>
      <w:r>
        <w:rPr>
          <w:b/>
          <w:bCs/>
          <w:sz w:val="21"/>
          <w:szCs w:val="21"/>
        </w:rPr>
        <w:t xml:space="preserve">Llama 3.2 3B</w:t>
      </w:r>
      <w:r>
        <w:rPr>
          <w:sz w:val="21"/>
          <w:szCs w:val="21"/>
        </w:rPr>
        <w:t xml:space="preserve"> sert de plan B léger si Qwen2.5 ne passe pas le seuil sur la machine de démo.</w:t>
      </w:r>
    </w:p>
    <w:p>
      <w:pPr>
        <w:spacing w:after="120" w:line="276"/>
      </w:pPr>
      <w:r>
        <w:rPr>
          <w:b/>
          <w:bCs/>
          <w:color w:val="B45309"/>
          <w:sz w:val="21"/>
          <w:szCs w:val="21"/>
        </w:rPr>
        <w:t xml:space="preserve">Point d'attention. </w:t>
      </w:r>
      <w:r>
        <w:rPr>
          <w:color w:val="1A1A1A"/>
          <w:sz w:val="21"/>
          <w:szCs w:val="21"/>
        </w:rPr>
        <w:t xml:space="preserve">Le choix « évident » Phi-3-mini (le plus rapide) est écarté comme décision par défaut : ce modèle est entraîné majoritairement en anglais, donc plus faible sur un produit francophone. La rapidité ne doit pas se payer en qualité pédagogique.</w:t>
      </w:r>
    </w:p>
    <w:p>
      <w:pPr>
        <w:spacing w:after="120" w:line="276"/>
      </w:pPr>
      <w:r>
        <w:rPr>
          <w:b/>
          <w:bCs/>
          <w:color w:val="475569"/>
          <w:sz w:val="21"/>
          <w:szCs w:val="21"/>
        </w:rPr>
        <w:t xml:space="preserve">Statut. </w:t>
      </w:r>
      <w:r>
        <w:rPr>
          <w:color w:val="1A1A1A"/>
          <w:sz w:val="21"/>
          <w:szCs w:val="21"/>
        </w:rPr>
        <w:t xml:space="preserve">Proposé. La décision est ratifiée après exécution du benchmark (benchmark_llm.py) sur le matériel de démonstration et report des chiffres mesurés au paragraphe 3.</w:t>
      </w:r>
    </w:p>
    <w:p>
      <w:pPr>
        <w:pStyle w:val="Heading1"/>
        <w:spacing w:after="140" w:before="280"/>
      </w:pPr>
      <w:r>
        <w:rPr>
          <w:rFonts w:ascii="Arial" w:cs="Arial" w:eastAsia="Arial" w:hAnsi="Arial"/>
          <w:b/>
          <w:bCs/>
          <w:color w:val="1E1B4B"/>
        </w:rPr>
        <w:t xml:space="preserve">3. Options considérées</w:t>
      </w:r>
    </w:p>
    <w:p>
      <w:pPr>
        <w:spacing w:after="120" w:before="0" w:line="276"/>
      </w:pPr>
      <w:r>
        <w:rPr>
          <w:color w:val="1A1A1A"/>
          <w:sz w:val="21"/>
          <w:szCs w:val="21"/>
        </w:rPr>
        <w:t xml:space="preserve">Mêmes conditions pour les quatre options : même extrait de cours en entrée, génération de 10 QCM, température 0.2, mesure via l'API Ollama (total_duration, eval_count / eval_duration).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50"/>
        <w:gridCol w:w="1550"/>
        <w:gridCol w:w="1300"/>
        <w:gridCol w:w="1000"/>
        <w:gridCol w:w="2160"/>
      </w:tblGrid>
      <w:tr>
        <w:trPr>
          <w:tblHeader/>
        </w:trPr>
        <w:tc>
          <w:tcPr>
            <w:tcW w:type="dxa" w:w="1500"/>
            <w:tcBorders>
              <w:top w:val="single" w:color="B9C4D4" w:sz="1"/>
              <w:left w:val="single" w:color="B9C4D4" w:sz="1"/>
              <w:bottom w:val="single" w:color="B9C4D4" w:sz="1"/>
              <w:right w:val="single" w:color="B9C4D4" w:sz="1"/>
            </w:tcBorders>
            <w:shd w:fill="1E1B4B" w:val="clear"/>
            <w:tcMar>
              <w:top w:type="dxa" w:w="60"/>
              <w:left w:type="dxa" w:w="120"/>
              <w:bottom w:type="dxa" w:w="60"/>
              <w:right w:type="dxa" w:w="120"/>
            </w:tcMar>
            <w:vAlign w:val="center"/>
          </w:tcPr>
          <w:p>
            <w:r>
              <w:rPr>
                <w:b/>
                <w:bCs/>
                <w:color w:val="FFFFFF"/>
                <w:sz w:val="19"/>
                <w:szCs w:val="19"/>
              </w:rPr>
              <w:t xml:space="preserve">Option</w:t>
            </w:r>
          </w:p>
        </w:tc>
        <w:tc>
          <w:tcPr>
            <w:tcW w:type="dxa" w:w="1850"/>
            <w:tcBorders>
              <w:top w:val="single" w:color="B9C4D4" w:sz="1"/>
              <w:left w:val="single" w:color="B9C4D4" w:sz="1"/>
              <w:bottom w:val="single" w:color="B9C4D4" w:sz="1"/>
              <w:right w:val="single" w:color="B9C4D4" w:sz="1"/>
            </w:tcBorders>
            <w:shd w:fill="1E1B4B" w:val="clear"/>
            <w:tcMar>
              <w:top w:type="dxa" w:w="60"/>
              <w:left w:type="dxa" w:w="120"/>
              <w:bottom w:type="dxa" w:w="60"/>
              <w:right w:type="dxa" w:w="120"/>
            </w:tcMar>
            <w:vAlign w:val="center"/>
          </w:tcPr>
          <w:p>
            <w:r>
              <w:rPr>
                <w:b/>
                <w:bCs/>
                <w:color w:val="FFFFFF"/>
                <w:sz w:val="19"/>
                <w:szCs w:val="19"/>
              </w:rPr>
              <w:t xml:space="preserve">Modèle (Ollama)</w:t>
            </w:r>
          </w:p>
        </w:tc>
        <w:tc>
          <w:tcPr>
            <w:tcW w:type="dxa" w:w="1550"/>
            <w:tcBorders>
              <w:top w:val="single" w:color="B9C4D4" w:sz="1"/>
              <w:left w:val="single" w:color="B9C4D4" w:sz="1"/>
              <w:bottom w:val="single" w:color="B9C4D4" w:sz="1"/>
              <w:right w:val="single" w:color="B9C4D4" w:sz="1"/>
            </w:tcBorders>
            <w:shd w:fill="1E1B4B" w:val="clear"/>
            <w:tcMar>
              <w:top w:type="dxa" w:w="60"/>
              <w:left w:type="dxa" w:w="120"/>
              <w:bottom w:type="dxa" w:w="60"/>
              <w:right w:type="dxa" w:w="120"/>
            </w:tcMar>
            <w:vAlign w:val="center"/>
          </w:tcPr>
          <w:p>
            <w:r>
              <w:rPr>
                <w:b/>
                <w:bCs/>
                <w:color w:val="FFFFFF"/>
                <w:sz w:val="19"/>
                <w:szCs w:val="19"/>
              </w:rPr>
              <w:t xml:space="preserve">Latence attendue</w:t>
            </w:r>
          </w:p>
        </w:tc>
        <w:tc>
          <w:tcPr>
            <w:tcW w:type="dxa" w:w="1300"/>
            <w:tcBorders>
              <w:top w:val="single" w:color="B9C4D4" w:sz="1"/>
              <w:left w:val="single" w:color="B9C4D4" w:sz="1"/>
              <w:bottom w:val="single" w:color="B9C4D4" w:sz="1"/>
              <w:right w:val="single" w:color="B9C4D4" w:sz="1"/>
            </w:tcBorders>
            <w:shd w:fill="1E1B4B" w:val="clear"/>
            <w:tcMar>
              <w:top w:type="dxa" w:w="60"/>
              <w:left w:type="dxa" w:w="120"/>
              <w:bottom w:type="dxa" w:w="60"/>
              <w:right w:type="dxa" w:w="120"/>
            </w:tcMar>
            <w:vAlign w:val="center"/>
          </w:tcPr>
          <w:p>
            <w:r>
              <w:rPr>
                <w:b/>
                <w:bCs/>
                <w:color w:val="FFFFFF"/>
                <w:sz w:val="19"/>
                <w:szCs w:val="19"/>
              </w:rPr>
              <w:t xml:space="preserve">Qualité FR</w:t>
            </w:r>
          </w:p>
        </w:tc>
        <w:tc>
          <w:tcPr>
            <w:tcW w:type="dxa" w:w="1000"/>
            <w:tcBorders>
              <w:top w:val="single" w:color="B9C4D4" w:sz="1"/>
              <w:left w:val="single" w:color="B9C4D4" w:sz="1"/>
              <w:bottom w:val="single" w:color="B9C4D4" w:sz="1"/>
              <w:right w:val="single" w:color="B9C4D4" w:sz="1"/>
            </w:tcBorders>
            <w:shd w:fill="1E1B4B" w:val="clear"/>
            <w:tcMar>
              <w:top w:type="dxa" w:w="60"/>
              <w:left w:type="dxa" w:w="120"/>
              <w:bottom w:type="dxa" w:w="60"/>
              <w:right w:type="dxa" w:w="120"/>
            </w:tcMar>
            <w:vAlign w:val="center"/>
          </w:tcPr>
          <w:p>
            <w:r>
              <w:rPr>
                <w:b/>
                <w:bCs/>
                <w:color w:val="FFFFFF"/>
                <w:sz w:val="19"/>
                <w:szCs w:val="19"/>
              </w:rPr>
              <w:t xml:space="preserve">RAM</w:t>
            </w:r>
          </w:p>
        </w:tc>
        <w:tc>
          <w:tcPr>
            <w:tcW w:type="dxa" w:w="2160"/>
            <w:tcBorders>
              <w:top w:val="single" w:color="B9C4D4" w:sz="1"/>
              <w:left w:val="single" w:color="B9C4D4" w:sz="1"/>
              <w:bottom w:val="single" w:color="B9C4D4" w:sz="1"/>
              <w:right w:val="single" w:color="B9C4D4" w:sz="1"/>
            </w:tcBorders>
            <w:shd w:fill="1E1B4B" w:val="clear"/>
            <w:tcMar>
              <w:top w:type="dxa" w:w="60"/>
              <w:left w:type="dxa" w:w="120"/>
              <w:bottom w:type="dxa" w:w="60"/>
              <w:right w:type="dxa" w:w="120"/>
            </w:tcMar>
            <w:vAlign w:val="center"/>
          </w:tcPr>
          <w:p>
            <w:r>
              <w:rPr>
                <w:b/>
                <w:bCs/>
                <w:color w:val="FFFFFF"/>
                <w:sz w:val="19"/>
                <w:szCs w:val="19"/>
              </w:rPr>
              <w:t xml:space="preserve">Verdict</w:t>
            </w:r>
          </w:p>
        </w:tc>
      </w:tr>
      <w:tr>
        <w:tc>
          <w:tcPr>
            <w:tcW w:type="dxa" w:w="1500"/>
            <w:tcBorders>
              <w:top w:val="single" w:color="B9C4D4" w:sz="1"/>
              <w:left w:val="single" w:color="B9C4D4" w:sz="1"/>
              <w:bottom w:val="single" w:color="B9C4D4" w:sz="1"/>
              <w:right w:val="single" w:color="B9C4D4" w:sz="1"/>
            </w:tcBorders>
            <w:tcMar>
              <w:top w:type="dxa" w:w="60"/>
              <w:left w:type="dxa" w:w="120"/>
              <w:bottom w:type="dxa" w:w="60"/>
              <w:right w:type="dxa" w:w="120"/>
            </w:tcMar>
            <w:vAlign w:val="center"/>
          </w:tcPr>
          <w:p>
            <w:r>
              <w:rPr>
                <w:b/>
                <w:bCs/>
                <w:color w:val="1A1A1A"/>
                <w:sz w:val="19"/>
                <w:szCs w:val="19"/>
              </w:rPr>
              <w:t xml:space="preserve">A — Statu quo</w:t>
            </w:r>
          </w:p>
        </w:tc>
        <w:tc>
          <w:tcPr>
            <w:tcW w:type="dxa" w:w="1850"/>
            <w:tcBorders>
              <w:top w:val="single" w:color="B9C4D4" w:sz="1"/>
              <w:left w:val="single" w:color="B9C4D4" w:sz="1"/>
              <w:bottom w:val="single" w:color="B9C4D4" w:sz="1"/>
              <w:right w:val="single" w:color="B9C4D4" w:sz="1"/>
            </w:tcBorders>
            <w:tcMar>
              <w:top w:type="dxa" w:w="60"/>
              <w:left w:type="dxa" w:w="120"/>
              <w:bottom w:type="dxa" w:w="60"/>
              <w:right w:type="dxa" w:w="120"/>
            </w:tcMar>
            <w:vAlign w:val="center"/>
          </w:tcPr>
          <w:p>
            <w:r>
              <w:rPr>
                <w:b w:val="false"/>
                <w:bCs w:val="false"/>
                <w:color w:val="1A1A1A"/>
                <w:sz w:val="19"/>
                <w:szCs w:val="19"/>
              </w:rPr>
              <w:t xml:space="preserve">llama3.1:8b (8 B)</w:t>
            </w:r>
          </w:p>
        </w:tc>
        <w:tc>
          <w:tcPr>
            <w:tcW w:type="dxa" w:w="1550"/>
            <w:tcBorders>
              <w:top w:val="single" w:color="B9C4D4" w:sz="1"/>
              <w:left w:val="single" w:color="B9C4D4" w:sz="1"/>
              <w:bottom w:val="single" w:color="B9C4D4" w:sz="1"/>
              <w:right w:val="single" w:color="B9C4D4" w:sz="1"/>
            </w:tcBorders>
            <w:tcMar>
              <w:top w:type="dxa" w:w="60"/>
              <w:left w:type="dxa" w:w="120"/>
              <w:bottom w:type="dxa" w:w="60"/>
              <w:right w:type="dxa" w:w="120"/>
            </w:tcMar>
            <w:vAlign w:val="center"/>
          </w:tcPr>
          <w:p>
            <w:r>
              <w:rPr>
                <w:b w:val="false"/>
                <w:bCs w:val="false"/>
                <w:color w:val="1A1A1A"/>
                <w:sz w:val="19"/>
                <w:szCs w:val="19"/>
              </w:rPr>
              <w:t xml:space="preserve">Élevée (risque &gt; 60 s)</w:t>
            </w:r>
          </w:p>
        </w:tc>
        <w:tc>
          <w:tcPr>
            <w:tcW w:type="dxa" w:w="1300"/>
            <w:tcBorders>
              <w:top w:val="single" w:color="B9C4D4" w:sz="1"/>
              <w:left w:val="single" w:color="B9C4D4" w:sz="1"/>
              <w:bottom w:val="single" w:color="B9C4D4" w:sz="1"/>
              <w:right w:val="single" w:color="B9C4D4" w:sz="1"/>
            </w:tcBorders>
            <w:tcMar>
              <w:top w:type="dxa" w:w="60"/>
              <w:left w:type="dxa" w:w="120"/>
              <w:bottom w:type="dxa" w:w="60"/>
              <w:right w:type="dxa" w:w="120"/>
            </w:tcMar>
            <w:vAlign w:val="center"/>
          </w:tcPr>
          <w:p>
            <w:r>
              <w:rPr>
                <w:b w:val="false"/>
                <w:bCs w:val="false"/>
                <w:color w:val="1A1A1A"/>
                <w:sz w:val="19"/>
                <w:szCs w:val="19"/>
              </w:rPr>
              <w:t xml:space="preserve">Fiable</w:t>
            </w:r>
          </w:p>
        </w:tc>
        <w:tc>
          <w:tcPr>
            <w:tcW w:type="dxa" w:w="1000"/>
            <w:tcBorders>
              <w:top w:val="single" w:color="B9C4D4" w:sz="1"/>
              <w:left w:val="single" w:color="B9C4D4" w:sz="1"/>
              <w:bottom w:val="single" w:color="B9C4D4" w:sz="1"/>
              <w:right w:val="single" w:color="B9C4D4" w:sz="1"/>
            </w:tcBorders>
            <w:tcMar>
              <w:top w:type="dxa" w:w="60"/>
              <w:left w:type="dxa" w:w="120"/>
              <w:bottom w:type="dxa" w:w="60"/>
              <w:right w:type="dxa" w:w="120"/>
            </w:tcMar>
            <w:vAlign w:val="center"/>
          </w:tcPr>
          <w:p>
            <w:r>
              <w:rPr>
                <w:b w:val="false"/>
                <w:bCs w:val="false"/>
                <w:color w:val="1A1A1A"/>
                <w:sz w:val="19"/>
                <w:szCs w:val="19"/>
              </w:rPr>
              <w:t xml:space="preserve">~4,7 Go</w:t>
            </w:r>
          </w:p>
        </w:tc>
        <w:tc>
          <w:tcPr>
            <w:tcW w:type="dxa" w:w="2160"/>
            <w:tcBorders>
              <w:top w:val="single" w:color="B9C4D4" w:sz="1"/>
              <w:left w:val="single" w:color="B9C4D4" w:sz="1"/>
              <w:bottom w:val="single" w:color="B9C4D4" w:sz="1"/>
              <w:right w:val="single" w:color="B9C4D4" w:sz="1"/>
            </w:tcBorders>
            <w:shd w:fill="FDEAEA" w:val="clear"/>
            <w:tcMar>
              <w:top w:type="dxa" w:w="60"/>
              <w:left w:type="dxa" w:w="120"/>
              <w:bottom w:type="dxa" w:w="60"/>
              <w:right w:type="dxa" w:w="120"/>
            </w:tcMar>
            <w:vAlign w:val="center"/>
          </w:tcPr>
          <w:p>
            <w:r>
              <w:rPr>
                <w:b/>
                <w:bCs/>
                <w:color w:val="DC2626"/>
                <w:sz w:val="19"/>
                <w:szCs w:val="19"/>
              </w:rPr>
              <w:t xml:space="preserve">Rejeté : ne tient pas le &lt; 60 s sur matériel modeste</w:t>
            </w:r>
          </w:p>
        </w:tc>
      </w:tr>
      <w:tr>
        <w:tc>
          <w:tcPr>
            <w:tcW w:type="dxa" w:w="1500"/>
            <w:tcBorders>
              <w:top w:val="single" w:color="B9C4D4" w:sz="1"/>
              <w:left w:val="single" w:color="B9C4D4" w:sz="1"/>
              <w:bottom w:val="single" w:color="B9C4D4" w:sz="1"/>
              <w:right w:val="single" w:color="B9C4D4" w:sz="1"/>
            </w:tcBorders>
            <w:tcMar>
              <w:top w:type="dxa" w:w="60"/>
              <w:left w:type="dxa" w:w="120"/>
              <w:bottom w:type="dxa" w:w="60"/>
              <w:right w:type="dxa" w:w="120"/>
            </w:tcMar>
            <w:vAlign w:val="center"/>
          </w:tcPr>
          <w:p>
            <w:r>
              <w:rPr>
                <w:b/>
                <w:bCs/>
                <w:color w:val="1A1A1A"/>
                <w:sz w:val="19"/>
                <w:szCs w:val="19"/>
              </w:rPr>
              <w:t xml:space="preserve">B — Allègement max</w:t>
            </w:r>
          </w:p>
        </w:tc>
        <w:tc>
          <w:tcPr>
            <w:tcW w:type="dxa" w:w="1850"/>
            <w:tcBorders>
              <w:top w:val="single" w:color="B9C4D4" w:sz="1"/>
              <w:left w:val="single" w:color="B9C4D4" w:sz="1"/>
              <w:bottom w:val="single" w:color="B9C4D4" w:sz="1"/>
              <w:right w:val="single" w:color="B9C4D4" w:sz="1"/>
            </w:tcBorders>
            <w:tcMar>
              <w:top w:type="dxa" w:w="60"/>
              <w:left w:type="dxa" w:w="120"/>
              <w:bottom w:type="dxa" w:w="60"/>
              <w:right w:type="dxa" w:w="120"/>
            </w:tcMar>
            <w:vAlign w:val="center"/>
          </w:tcPr>
          <w:p>
            <w:r>
              <w:rPr>
                <w:b w:val="false"/>
                <w:bCs w:val="false"/>
                <w:color w:val="1A1A1A"/>
                <w:sz w:val="19"/>
                <w:szCs w:val="19"/>
              </w:rPr>
              <w:t xml:space="preserve">phi3:mini (3,8 B)</w:t>
            </w:r>
          </w:p>
        </w:tc>
        <w:tc>
          <w:tcPr>
            <w:tcW w:type="dxa" w:w="1550"/>
            <w:tcBorders>
              <w:top w:val="single" w:color="B9C4D4" w:sz="1"/>
              <w:left w:val="single" w:color="B9C4D4" w:sz="1"/>
              <w:bottom w:val="single" w:color="B9C4D4" w:sz="1"/>
              <w:right w:val="single" w:color="B9C4D4" w:sz="1"/>
            </w:tcBorders>
            <w:tcMar>
              <w:top w:type="dxa" w:w="60"/>
              <w:left w:type="dxa" w:w="120"/>
              <w:bottom w:type="dxa" w:w="60"/>
              <w:right w:type="dxa" w:w="120"/>
            </w:tcMar>
            <w:vAlign w:val="center"/>
          </w:tcPr>
          <w:p>
            <w:r>
              <w:rPr>
                <w:b w:val="false"/>
                <w:bCs w:val="false"/>
                <w:color w:val="1A1A1A"/>
                <w:sz w:val="19"/>
                <w:szCs w:val="19"/>
              </w:rPr>
              <w:t xml:space="preserve">Très faible</w:t>
            </w:r>
          </w:p>
        </w:tc>
        <w:tc>
          <w:tcPr>
            <w:tcW w:type="dxa" w:w="1300"/>
            <w:tcBorders>
              <w:top w:val="single" w:color="B9C4D4" w:sz="1"/>
              <w:left w:val="single" w:color="B9C4D4" w:sz="1"/>
              <w:bottom w:val="single" w:color="B9C4D4" w:sz="1"/>
              <w:right w:val="single" w:color="B9C4D4" w:sz="1"/>
            </w:tcBorders>
            <w:tcMar>
              <w:top w:type="dxa" w:w="60"/>
              <w:left w:type="dxa" w:w="120"/>
              <w:bottom w:type="dxa" w:w="60"/>
              <w:right w:type="dxa" w:w="120"/>
            </w:tcMar>
            <w:vAlign w:val="center"/>
          </w:tcPr>
          <w:p>
            <w:r>
              <w:rPr>
                <w:b w:val="false"/>
                <w:bCs w:val="false"/>
                <w:color w:val="1A1A1A"/>
                <w:sz w:val="19"/>
                <w:szCs w:val="19"/>
              </w:rPr>
              <w:t xml:space="preserve">Faible (anglais-first)</w:t>
            </w:r>
          </w:p>
        </w:tc>
        <w:tc>
          <w:tcPr>
            <w:tcW w:type="dxa" w:w="1000"/>
            <w:tcBorders>
              <w:top w:val="single" w:color="B9C4D4" w:sz="1"/>
              <w:left w:val="single" w:color="B9C4D4" w:sz="1"/>
              <w:bottom w:val="single" w:color="B9C4D4" w:sz="1"/>
              <w:right w:val="single" w:color="B9C4D4" w:sz="1"/>
            </w:tcBorders>
            <w:tcMar>
              <w:top w:type="dxa" w:w="60"/>
              <w:left w:type="dxa" w:w="120"/>
              <w:bottom w:type="dxa" w:w="60"/>
              <w:right w:type="dxa" w:w="120"/>
            </w:tcMar>
            <w:vAlign w:val="center"/>
          </w:tcPr>
          <w:p>
            <w:r>
              <w:rPr>
                <w:b w:val="false"/>
                <w:bCs w:val="false"/>
                <w:color w:val="1A1A1A"/>
                <w:sz w:val="19"/>
                <w:szCs w:val="19"/>
              </w:rPr>
              <w:t xml:space="preserve">~2,2 Go</w:t>
            </w:r>
          </w:p>
        </w:tc>
        <w:tc>
          <w:tcPr>
            <w:tcW w:type="dxa" w:w="2160"/>
            <w:tcBorders>
              <w:top w:val="single" w:color="B9C4D4" w:sz="1"/>
              <w:left w:val="single" w:color="B9C4D4" w:sz="1"/>
              <w:bottom w:val="single" w:color="B9C4D4" w:sz="1"/>
              <w:right w:val="single" w:color="B9C4D4" w:sz="1"/>
            </w:tcBorders>
            <w:shd w:fill="FEF6E7" w:val="clear"/>
            <w:tcMar>
              <w:top w:type="dxa" w:w="60"/>
              <w:left w:type="dxa" w:w="120"/>
              <w:bottom w:type="dxa" w:w="60"/>
              <w:right w:type="dxa" w:w="120"/>
            </w:tcMar>
            <w:vAlign w:val="center"/>
          </w:tcPr>
          <w:p>
            <w:r>
              <w:rPr>
                <w:b/>
                <w:bCs/>
                <w:color w:val="B45309"/>
                <w:sz w:val="19"/>
                <w:szCs w:val="19"/>
              </w:rPr>
              <w:t xml:space="preserve">Repli : rapide mais qualité FR à risque</w:t>
            </w:r>
          </w:p>
        </w:tc>
      </w:tr>
      <w:tr>
        <w:tc>
          <w:tcPr>
            <w:tcW w:type="dxa" w:w="1500"/>
            <w:tcBorders>
              <w:top w:val="single" w:color="B9C4D4" w:sz="1"/>
              <w:left w:val="single" w:color="B9C4D4" w:sz="1"/>
              <w:bottom w:val="single" w:color="B9C4D4" w:sz="1"/>
              <w:right w:val="single" w:color="B9C4D4" w:sz="1"/>
            </w:tcBorders>
            <w:tcMar>
              <w:top w:type="dxa" w:w="60"/>
              <w:left w:type="dxa" w:w="120"/>
              <w:bottom w:type="dxa" w:w="60"/>
              <w:right w:type="dxa" w:w="120"/>
            </w:tcMar>
            <w:vAlign w:val="center"/>
          </w:tcPr>
          <w:p>
            <w:r>
              <w:rPr>
                <w:b/>
                <w:bCs/>
                <w:color w:val="1A1A1A"/>
                <w:sz w:val="19"/>
                <w:szCs w:val="19"/>
              </w:rPr>
              <w:t xml:space="preserve">C — Compromis</w:t>
            </w:r>
          </w:p>
        </w:tc>
        <w:tc>
          <w:tcPr>
            <w:tcW w:type="dxa" w:w="1850"/>
            <w:tcBorders>
              <w:top w:val="single" w:color="B9C4D4" w:sz="1"/>
              <w:left w:val="single" w:color="B9C4D4" w:sz="1"/>
              <w:bottom w:val="single" w:color="B9C4D4" w:sz="1"/>
              <w:right w:val="single" w:color="B9C4D4" w:sz="1"/>
            </w:tcBorders>
            <w:tcMar>
              <w:top w:type="dxa" w:w="60"/>
              <w:left w:type="dxa" w:w="120"/>
              <w:bottom w:type="dxa" w:w="60"/>
              <w:right w:type="dxa" w:w="120"/>
            </w:tcMar>
            <w:vAlign w:val="center"/>
          </w:tcPr>
          <w:p>
            <w:r>
              <w:rPr>
                <w:b w:val="false"/>
                <w:bCs w:val="false"/>
                <w:color w:val="1A1A1A"/>
                <w:sz w:val="19"/>
                <w:szCs w:val="19"/>
              </w:rPr>
              <w:t xml:space="preserve">qwen2.5:7b (7 B)</w:t>
            </w:r>
          </w:p>
        </w:tc>
        <w:tc>
          <w:tcPr>
            <w:tcW w:type="dxa" w:w="1550"/>
            <w:tcBorders>
              <w:top w:val="single" w:color="B9C4D4" w:sz="1"/>
              <w:left w:val="single" w:color="B9C4D4" w:sz="1"/>
              <w:bottom w:val="single" w:color="B9C4D4" w:sz="1"/>
              <w:right w:val="single" w:color="B9C4D4" w:sz="1"/>
            </w:tcBorders>
            <w:tcMar>
              <w:top w:type="dxa" w:w="60"/>
              <w:left w:type="dxa" w:w="120"/>
              <w:bottom w:type="dxa" w:w="60"/>
              <w:right w:type="dxa" w:w="120"/>
            </w:tcMar>
            <w:vAlign w:val="center"/>
          </w:tcPr>
          <w:p>
            <w:r>
              <w:rPr>
                <w:b w:val="false"/>
                <w:bCs w:val="false"/>
                <w:color w:val="1A1A1A"/>
                <w:sz w:val="19"/>
                <w:szCs w:val="19"/>
              </w:rPr>
              <w:t xml:space="preserve">Modérée</w:t>
            </w:r>
          </w:p>
        </w:tc>
        <w:tc>
          <w:tcPr>
            <w:tcW w:type="dxa" w:w="1300"/>
            <w:tcBorders>
              <w:top w:val="single" w:color="B9C4D4" w:sz="1"/>
              <w:left w:val="single" w:color="B9C4D4" w:sz="1"/>
              <w:bottom w:val="single" w:color="B9C4D4" w:sz="1"/>
              <w:right w:val="single" w:color="B9C4D4" w:sz="1"/>
            </w:tcBorders>
            <w:tcMar>
              <w:top w:type="dxa" w:w="60"/>
              <w:left w:type="dxa" w:w="120"/>
              <w:bottom w:type="dxa" w:w="60"/>
              <w:right w:type="dxa" w:w="120"/>
            </w:tcMar>
            <w:vAlign w:val="center"/>
          </w:tcPr>
          <w:p>
            <w:r>
              <w:rPr>
                <w:b w:val="false"/>
                <w:bCs w:val="false"/>
                <w:color w:val="1A1A1A"/>
                <w:sz w:val="19"/>
                <w:szCs w:val="19"/>
              </w:rPr>
              <w:t xml:space="preserve">Solide (multilingue)</w:t>
            </w:r>
          </w:p>
        </w:tc>
        <w:tc>
          <w:tcPr>
            <w:tcW w:type="dxa" w:w="1000"/>
            <w:tcBorders>
              <w:top w:val="single" w:color="B9C4D4" w:sz="1"/>
              <w:left w:val="single" w:color="B9C4D4" w:sz="1"/>
              <w:bottom w:val="single" w:color="B9C4D4" w:sz="1"/>
              <w:right w:val="single" w:color="B9C4D4" w:sz="1"/>
            </w:tcBorders>
            <w:tcMar>
              <w:top w:type="dxa" w:w="60"/>
              <w:left w:type="dxa" w:w="120"/>
              <w:bottom w:type="dxa" w:w="60"/>
              <w:right w:type="dxa" w:w="120"/>
            </w:tcMar>
            <w:vAlign w:val="center"/>
          </w:tcPr>
          <w:p>
            <w:r>
              <w:rPr>
                <w:b w:val="false"/>
                <w:bCs w:val="false"/>
                <w:color w:val="1A1A1A"/>
                <w:sz w:val="19"/>
                <w:szCs w:val="19"/>
              </w:rPr>
              <w:t xml:space="preserve">~4,7 Go</w:t>
            </w:r>
          </w:p>
        </w:tc>
        <w:tc>
          <w:tcPr>
            <w:tcW w:type="dxa" w:w="2160"/>
            <w:tcBorders>
              <w:top w:val="single" w:color="B9C4D4" w:sz="1"/>
              <w:left w:val="single" w:color="B9C4D4" w:sz="1"/>
              <w:bottom w:val="single" w:color="B9C4D4" w:sz="1"/>
              <w:right w:val="single" w:color="B9C4D4" w:sz="1"/>
            </w:tcBorders>
            <w:shd w:fill="E8F6EE" w:val="clear"/>
            <w:tcMar>
              <w:top w:type="dxa" w:w="60"/>
              <w:left w:type="dxa" w:w="120"/>
              <w:bottom w:type="dxa" w:w="60"/>
              <w:right w:type="dxa" w:w="120"/>
            </w:tcMar>
            <w:vAlign w:val="center"/>
          </w:tcPr>
          <w:p>
            <w:r>
              <w:rPr>
                <w:b/>
                <w:bCs/>
                <w:color w:val="16A34A"/>
                <w:sz w:val="19"/>
                <w:szCs w:val="19"/>
              </w:rPr>
              <w:t xml:space="preserve">RETENU : meilleur compromis FR / vitesse, licence Apache 2.0</w:t>
            </w:r>
          </w:p>
        </w:tc>
      </w:tr>
      <w:tr>
        <w:tc>
          <w:tcPr>
            <w:tcW w:type="dxa" w:w="1500"/>
            <w:tcBorders>
              <w:top w:val="single" w:color="B9C4D4" w:sz="1"/>
              <w:left w:val="single" w:color="B9C4D4" w:sz="1"/>
              <w:bottom w:val="single" w:color="B9C4D4" w:sz="1"/>
              <w:right w:val="single" w:color="B9C4D4" w:sz="1"/>
            </w:tcBorders>
            <w:tcMar>
              <w:top w:type="dxa" w:w="60"/>
              <w:left w:type="dxa" w:w="120"/>
              <w:bottom w:type="dxa" w:w="60"/>
              <w:right w:type="dxa" w:w="120"/>
            </w:tcMar>
            <w:vAlign w:val="center"/>
          </w:tcPr>
          <w:p>
            <w:r>
              <w:rPr>
                <w:b/>
                <w:bCs/>
                <w:color w:val="1A1A1A"/>
                <w:sz w:val="19"/>
                <w:szCs w:val="19"/>
              </w:rPr>
              <w:t xml:space="preserve">D — Alternative légère</w:t>
            </w:r>
          </w:p>
        </w:tc>
        <w:tc>
          <w:tcPr>
            <w:tcW w:type="dxa" w:w="1850"/>
            <w:tcBorders>
              <w:top w:val="single" w:color="B9C4D4" w:sz="1"/>
              <w:left w:val="single" w:color="B9C4D4" w:sz="1"/>
              <w:bottom w:val="single" w:color="B9C4D4" w:sz="1"/>
              <w:right w:val="single" w:color="B9C4D4" w:sz="1"/>
            </w:tcBorders>
            <w:tcMar>
              <w:top w:type="dxa" w:w="60"/>
              <w:left w:type="dxa" w:w="120"/>
              <w:bottom w:type="dxa" w:w="60"/>
              <w:right w:type="dxa" w:w="120"/>
            </w:tcMar>
            <w:vAlign w:val="center"/>
          </w:tcPr>
          <w:p>
            <w:r>
              <w:rPr>
                <w:b w:val="false"/>
                <w:bCs w:val="false"/>
                <w:color w:val="1A1A1A"/>
                <w:sz w:val="19"/>
                <w:szCs w:val="19"/>
              </w:rPr>
              <w:t xml:space="preserve">llama3.2:3b (3 B)</w:t>
            </w:r>
          </w:p>
        </w:tc>
        <w:tc>
          <w:tcPr>
            <w:tcW w:type="dxa" w:w="1550"/>
            <w:tcBorders>
              <w:top w:val="single" w:color="B9C4D4" w:sz="1"/>
              <w:left w:val="single" w:color="B9C4D4" w:sz="1"/>
              <w:bottom w:val="single" w:color="B9C4D4" w:sz="1"/>
              <w:right w:val="single" w:color="B9C4D4" w:sz="1"/>
            </w:tcBorders>
            <w:tcMar>
              <w:top w:type="dxa" w:w="60"/>
              <w:left w:type="dxa" w:w="120"/>
              <w:bottom w:type="dxa" w:w="60"/>
              <w:right w:type="dxa" w:w="120"/>
            </w:tcMar>
            <w:vAlign w:val="center"/>
          </w:tcPr>
          <w:p>
            <w:r>
              <w:rPr>
                <w:b w:val="false"/>
                <w:bCs w:val="false"/>
                <w:color w:val="1A1A1A"/>
                <w:sz w:val="19"/>
                <w:szCs w:val="19"/>
              </w:rPr>
              <w:t xml:space="preserve">Faible</w:t>
            </w:r>
          </w:p>
        </w:tc>
        <w:tc>
          <w:tcPr>
            <w:tcW w:type="dxa" w:w="1300"/>
            <w:tcBorders>
              <w:top w:val="single" w:color="B9C4D4" w:sz="1"/>
              <w:left w:val="single" w:color="B9C4D4" w:sz="1"/>
              <w:bottom w:val="single" w:color="B9C4D4" w:sz="1"/>
              <w:right w:val="single" w:color="B9C4D4" w:sz="1"/>
            </w:tcBorders>
            <w:tcMar>
              <w:top w:type="dxa" w:w="60"/>
              <w:left w:type="dxa" w:w="120"/>
              <w:bottom w:type="dxa" w:w="60"/>
              <w:right w:type="dxa" w:w="120"/>
            </w:tcMar>
            <w:vAlign w:val="center"/>
          </w:tcPr>
          <w:p>
            <w:r>
              <w:rPr>
                <w:b w:val="false"/>
                <w:bCs w:val="false"/>
                <w:color w:val="1A1A1A"/>
                <w:sz w:val="19"/>
                <w:szCs w:val="19"/>
              </w:rPr>
              <w:t xml:space="preserve">Correcte</w:t>
            </w:r>
          </w:p>
        </w:tc>
        <w:tc>
          <w:tcPr>
            <w:tcW w:type="dxa" w:w="1000"/>
            <w:tcBorders>
              <w:top w:val="single" w:color="B9C4D4" w:sz="1"/>
              <w:left w:val="single" w:color="B9C4D4" w:sz="1"/>
              <w:bottom w:val="single" w:color="B9C4D4" w:sz="1"/>
              <w:right w:val="single" w:color="B9C4D4" w:sz="1"/>
            </w:tcBorders>
            <w:tcMar>
              <w:top w:type="dxa" w:w="60"/>
              <w:left w:type="dxa" w:w="120"/>
              <w:bottom w:type="dxa" w:w="60"/>
              <w:right w:type="dxa" w:w="120"/>
            </w:tcMar>
            <w:vAlign w:val="center"/>
          </w:tcPr>
          <w:p>
            <w:r>
              <w:rPr>
                <w:b w:val="false"/>
                <w:bCs w:val="false"/>
                <w:color w:val="1A1A1A"/>
                <w:sz w:val="19"/>
                <w:szCs w:val="19"/>
              </w:rPr>
              <w:t xml:space="preserve">~2,0 Go</w:t>
            </w:r>
          </w:p>
        </w:tc>
        <w:tc>
          <w:tcPr>
            <w:tcW w:type="dxa" w:w="2160"/>
            <w:tcBorders>
              <w:top w:val="single" w:color="B9C4D4" w:sz="1"/>
              <w:left w:val="single" w:color="B9C4D4" w:sz="1"/>
              <w:bottom w:val="single" w:color="B9C4D4" w:sz="1"/>
              <w:right w:val="single" w:color="B9C4D4" w:sz="1"/>
            </w:tcBorders>
            <w:shd w:fill="EEF4FB" w:val="clear"/>
            <w:tcMar>
              <w:top w:type="dxa" w:w="60"/>
              <w:left w:type="dxa" w:w="120"/>
              <w:bottom w:type="dxa" w:w="60"/>
              <w:right w:type="dxa" w:w="120"/>
            </w:tcMar>
            <w:vAlign w:val="center"/>
          </w:tcPr>
          <w:p>
            <w:r>
              <w:rPr>
                <w:b w:val="false"/>
                <w:bCs w:val="false"/>
                <w:color w:val="1E1B4B"/>
                <w:sz w:val="19"/>
                <w:szCs w:val="19"/>
              </w:rPr>
              <w:t xml:space="preserve">Plan B : si C ne passe pas le seuil sur la machine de démo</w:t>
            </w:r>
          </w:p>
        </w:tc>
      </w:tr>
    </w:tbl>
    <w:p>
      <w:pPr>
        <w:spacing w:after="120" w:before="100" w:line="276"/>
      </w:pPr>
      <w:r>
        <w:rPr>
          <w:i/>
          <w:iCs/>
          <w:color w:val="475569"/>
          <w:sz w:val="18"/>
          <w:szCs w:val="18"/>
        </w:rPr>
        <w:t xml:space="preserve">Latences à confirmer : reporter ici les mesures de benchmark_resume.csv (médiane et min–max par modèle) avant validation PO.</w:t>
      </w:r>
    </w:p>
    <w:p>
      <w:pPr>
        <w:pStyle w:val="Heading1"/>
        <w:spacing w:after="140" w:before="280"/>
      </w:pPr>
      <w:r>
        <w:rPr>
          <w:rFonts w:ascii="Arial" w:cs="Arial" w:eastAsia="Arial" w:hAnsi="Arial"/>
          <w:b/>
          <w:bCs/>
          <w:color w:val="1E1B4B"/>
        </w:rPr>
        <w:t xml:space="preserve">4. Conséquences et trade-offs</w:t>
      </w:r>
    </w:p>
    <w:p>
      <w:pPr>
        <w:pStyle w:val="Heading2"/>
        <w:spacing w:after="100" w:before="200"/>
      </w:pPr>
      <w:r>
        <w:rPr>
          <w:rFonts w:ascii="Arial" w:cs="Arial" w:eastAsia="Arial" w:hAnsi="Arial"/>
          <w:b/>
          <w:bCs/>
          <w:color w:val="297AB8"/>
        </w:rPr>
        <w:t xml:space="preserve">Conséquences positives</w:t>
      </w:r>
    </w:p>
    <w:p>
      <w:pPr>
        <w:pStyle w:val="ListParagraph"/>
        <w:numPr>
          <w:ilvl w:val="0"/>
          <w:numId w:val="2"/>
        </w:numPr>
        <w:spacing w:after="120" w:before="0" w:line="276"/>
      </w:pPr>
      <w:r>
        <w:rPr>
          <w:color w:val="1A1A1A"/>
          <w:sz w:val="21"/>
          <w:szCs w:val="21"/>
        </w:rPr>
        <w:t xml:space="preserve">Latence ramenée sous le seuil des 60 s et empreinte RAM réduite (démo plus fluide).</w:t>
      </w:r>
    </w:p>
    <w:p>
      <w:pPr>
        <w:pStyle w:val="ListParagraph"/>
        <w:numPr>
          <w:ilvl w:val="0"/>
          <w:numId w:val="2"/>
        </w:numPr>
        <w:spacing w:after="120" w:before="0" w:line="276"/>
      </w:pPr>
      <w:r>
        <w:rPr>
          <w:color w:val="1A1A1A"/>
          <w:sz w:val="21"/>
          <w:szCs w:val="21"/>
        </w:rPr>
        <w:t xml:space="preserve">Souveraineté préservée : la solution reste 100 % locale, sans dépendance cloud.</w:t>
      </w:r>
    </w:p>
    <w:p>
      <w:pPr>
        <w:pStyle w:val="ListParagraph"/>
        <w:numPr>
          <w:ilvl w:val="0"/>
          <w:numId w:val="2"/>
        </w:numPr>
        <w:spacing w:after="120" w:before="0" w:line="276"/>
      </w:pPr>
      <w:r>
        <w:rPr>
          <w:color w:val="1A1A1A"/>
          <w:sz w:val="21"/>
          <w:szCs w:val="21"/>
        </w:rPr>
        <w:t xml:space="preserve">Licence Apache 2.0 (Qwen2.5) : usage et redistribution simples, sans friction juridique.</w:t>
      </w:r>
    </w:p>
    <w:p>
      <w:pPr>
        <w:pStyle w:val="Heading2"/>
        <w:spacing w:after="100" w:before="200"/>
      </w:pPr>
      <w:r>
        <w:rPr>
          <w:rFonts w:ascii="Arial" w:cs="Arial" w:eastAsia="Arial" w:hAnsi="Arial"/>
          <w:b/>
          <w:bCs/>
          <w:color w:val="297AB8"/>
        </w:rPr>
        <w:t xml:space="preserve">Conséquences négatives / coûts</w:t>
      </w:r>
    </w:p>
    <w:p>
      <w:pPr>
        <w:pStyle w:val="ListParagraph"/>
        <w:numPr>
          <w:ilvl w:val="0"/>
          <w:numId w:val="2"/>
        </w:numPr>
        <w:spacing w:after="120" w:before="0" w:line="276"/>
      </w:pPr>
      <w:r>
        <w:rPr>
          <w:color w:val="1A1A1A"/>
          <w:sz w:val="21"/>
          <w:szCs w:val="21"/>
        </w:rPr>
        <w:t xml:space="preserve">Re-test nécessaire de la qualité des questions en français sur le nouveau modèle.</w:t>
      </w:r>
    </w:p>
    <w:p>
      <w:pPr>
        <w:pStyle w:val="ListParagraph"/>
        <w:numPr>
          <w:ilvl w:val="0"/>
          <w:numId w:val="2"/>
        </w:numPr>
        <w:spacing w:after="120" w:before="0" w:line="276"/>
      </w:pPr>
      <w:r>
        <w:rPr>
          <w:color w:val="1A1A1A"/>
          <w:sz w:val="21"/>
          <w:szCs w:val="21"/>
        </w:rPr>
        <w:t xml:space="preserve">Ré-estimation de US-03 et ajustement du prompt (format JSON, consignes) au comportement du nouveau modèle.</w:t>
      </w:r>
    </w:p>
    <w:p>
      <w:pPr>
        <w:pStyle w:val="ListParagraph"/>
        <w:numPr>
          <w:ilvl w:val="0"/>
          <w:numId w:val="2"/>
        </w:numPr>
        <w:spacing w:after="120" w:before="0" w:line="276"/>
      </w:pPr>
      <w:r>
        <w:rPr>
          <w:color w:val="1A1A1A"/>
          <w:sz w:val="21"/>
          <w:szCs w:val="21"/>
        </w:rPr>
        <w:t xml:space="preserve">Changement de dépendance technique à documenter et à figer (version du modèle).</w:t>
      </w:r>
    </w:p>
    <w:p>
      <w:pPr>
        <w:pStyle w:val="Heading2"/>
        <w:spacing w:after="100" w:before="200"/>
      </w:pPr>
      <w:r>
        <w:rPr>
          <w:rFonts w:ascii="Arial" w:cs="Arial" w:eastAsia="Arial" w:hAnsi="Arial"/>
          <w:b/>
          <w:bCs/>
          <w:color w:val="297AB8"/>
        </w:rPr>
        <w:t xml:space="preserve">Trade-offs explicites</w:t>
      </w:r>
    </w:p>
    <w:p>
      <w:pPr>
        <w:spacing w:after="120" w:line="276"/>
      </w:pPr>
      <w:r>
        <w:rPr>
          <w:b/>
          <w:bCs/>
          <w:color w:val="1E1B4B"/>
          <w:sz w:val="21"/>
          <w:szCs w:val="21"/>
        </w:rPr>
        <w:t xml:space="preserve">Vitesse vs qualité. </w:t>
      </w:r>
      <w:r>
        <w:rPr>
          <w:color w:val="1A1A1A"/>
          <w:sz w:val="21"/>
          <w:szCs w:val="21"/>
        </w:rPr>
        <w:t xml:space="preserve">Phi-3-mini gagne en vitesse mais perd en français ; nous privilégions la qualité pédagogique, cœur de la valeur produit.</w:t>
      </w:r>
    </w:p>
    <w:p>
      <w:pPr>
        <w:spacing w:after="120" w:line="276"/>
      </w:pPr>
      <w:r>
        <w:rPr>
          <w:b/>
          <w:bCs/>
          <w:color w:val="1E1B4B"/>
          <w:sz w:val="21"/>
          <w:szCs w:val="21"/>
        </w:rPr>
        <w:t xml:space="preserve">Autonomie/local vs cloud. </w:t>
      </w:r>
      <w:r>
        <w:rPr>
          <w:color w:val="1A1A1A"/>
          <w:sz w:val="21"/>
          <w:szCs w:val="21"/>
        </w:rPr>
        <w:t xml:space="preserve">Un modèle cloud serait plus rapide et plus capable, mais violerait la souveraineté des données : exclu.</w:t>
      </w:r>
    </w:p>
    <w:p>
      <w:pPr>
        <w:spacing w:after="120" w:line="276"/>
      </w:pPr>
      <w:r>
        <w:rPr>
          <w:b/>
          <w:bCs/>
          <w:color w:val="1E1B4B"/>
          <w:sz w:val="21"/>
          <w:szCs w:val="21"/>
        </w:rPr>
        <w:t xml:space="preserve">Taille vs robustesse. </w:t>
      </w:r>
      <w:r>
        <w:rPr>
          <w:color w:val="1A1A1A"/>
          <w:sz w:val="21"/>
          <w:szCs w:val="21"/>
        </w:rPr>
        <w:t xml:space="preserve">Un modèle plus petit (3 B) réduit la latence mais peut dégrader la robustesse sur les cours longs ; d'où Qwen2.5 7B en premier choix, 3 B en repli.</w:t>
      </w:r>
    </w:p>
    <w:p>
      <w:pPr>
        <w:pStyle w:val="Heading1"/>
        <w:spacing w:after="140" w:before="280"/>
      </w:pPr>
      <w:r>
        <w:rPr>
          <w:rFonts w:ascii="Arial" w:cs="Arial" w:eastAsia="Arial" w:hAnsi="Arial"/>
          <w:b/>
          <w:bCs/>
          <w:color w:val="1E1B4B"/>
        </w:rPr>
        <w:t xml:space="preserve">5. Mitigations</w:t>
      </w:r>
    </w:p>
    <w:p>
      <w:pPr>
        <w:pStyle w:val="ListParagraph"/>
        <w:numPr>
          <w:ilvl w:val="0"/>
          <w:numId w:val="2"/>
        </w:numPr>
        <w:spacing w:after="120" w:before="0" w:line="276"/>
      </w:pPr>
      <w:r>
        <w:rPr>
          <w:color w:val="1A1A1A"/>
          <w:sz w:val="21"/>
          <w:szCs w:val="21"/>
        </w:rPr>
        <w:t xml:space="preserve">Prompt few-shot + format JSON strict (paramètre format=json d'Ollama) pour fiabiliser la sortie quel que soit le modèle.</w:t>
      </w:r>
    </w:p>
    <w:p>
      <w:pPr>
        <w:pStyle w:val="ListParagraph"/>
        <w:numPr>
          <w:ilvl w:val="0"/>
          <w:numId w:val="2"/>
        </w:numPr>
        <w:spacing w:after="120" w:before="0" w:line="276"/>
      </w:pPr>
      <w:r>
        <w:rPr>
          <w:color w:val="1A1A1A"/>
          <w:sz w:val="21"/>
          <w:szCs w:val="21"/>
        </w:rPr>
        <w:t xml:space="preserve">Conserver l'ancrage RAG sur le cours fourni (anti-hallucination) : la qualité ne dépend pas que du modèle.</w:t>
      </w:r>
    </w:p>
    <w:p>
      <w:pPr>
        <w:pStyle w:val="ListParagraph"/>
        <w:numPr>
          <w:ilvl w:val="0"/>
          <w:numId w:val="2"/>
        </w:numPr>
        <w:spacing w:after="120" w:before="0" w:line="276"/>
      </w:pPr>
      <w:r>
        <w:rPr>
          <w:color w:val="1A1A1A"/>
          <w:sz w:val="21"/>
          <w:szCs w:val="21"/>
        </w:rPr>
        <w:t xml:space="preserve">Plafonner num_predict et fixer une température basse (0.2) pour une latence stable et reproductible.</w:t>
      </w:r>
    </w:p>
    <w:p>
      <w:pPr>
        <w:pStyle w:val="ListParagraph"/>
        <w:numPr>
          <w:ilvl w:val="0"/>
          <w:numId w:val="2"/>
        </w:numPr>
        <w:spacing w:after="120" w:before="0" w:line="276"/>
      </w:pPr>
      <w:r>
        <w:rPr>
          <w:color w:val="1A1A1A"/>
          <w:sz w:val="21"/>
          <w:szCs w:val="21"/>
        </w:rPr>
        <w:t xml:space="preserve">Garder Llama 3.1 8B en fallback configurable (variable d'environnement) ; le « plan B humain » assure que US-03 reste démontrable même en cas de souci modèle.</w:t>
      </w:r>
    </w:p>
    <w:p>
      <w:pPr>
        <w:pStyle w:val="Heading1"/>
        <w:spacing w:after="140" w:before="280"/>
      </w:pPr>
      <w:r>
        <w:rPr>
          <w:rFonts w:ascii="Arial" w:cs="Arial" w:eastAsia="Arial" w:hAnsi="Arial"/>
          <w:b/>
          <w:bCs/>
          <w:color w:val="1E1B4B"/>
        </w:rPr>
        <w:t xml:space="preserve">6. KPIs post-décision et seuils d'alerte</w:t>
      </w:r>
    </w:p>
    <w:p>
      <w:pPr>
        <w:spacing w:after="120" w:before="0" w:line="276"/>
      </w:pPr>
      <w:r>
        <w:rPr>
          <w:color w:val="1A1A1A"/>
          <w:sz w:val="21"/>
          <w:szCs w:val="21"/>
        </w:rPr>
        <w:t xml:space="preserve">Indicateurs à suivre dès le Sprint 3 (intégration de l'ADR-J2) et en Sprint Review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900"/>
        <w:gridCol w:w="1900"/>
        <w:gridCol w:w="2200"/>
      </w:tblGrid>
      <w:tr>
        <w:trPr>
          <w:tblHeader/>
        </w:trPr>
        <w:tc>
          <w:tcPr>
            <w:tcW w:type="dxa" w:w="3360"/>
            <w:tcBorders>
              <w:top w:val="single" w:color="B9C4D4" w:sz="1"/>
              <w:left w:val="single" w:color="B9C4D4" w:sz="1"/>
              <w:bottom w:val="single" w:color="B9C4D4" w:sz="1"/>
              <w:right w:val="single" w:color="B9C4D4" w:sz="1"/>
            </w:tcBorders>
            <w:shd w:fill="1E1B4B" w:val="clear"/>
            <w:tcMar>
              <w:top w:type="dxa" w:w="60"/>
              <w:left w:type="dxa" w:w="120"/>
              <w:bottom w:type="dxa" w:w="60"/>
              <w:right w:type="dxa" w:w="120"/>
            </w:tcMar>
            <w:vAlign w:val="center"/>
          </w:tcPr>
          <w:p>
            <w:r>
              <w:rPr>
                <w:b/>
                <w:bCs/>
                <w:color w:val="FFFFFF"/>
                <w:sz w:val="19"/>
                <w:szCs w:val="19"/>
              </w:rPr>
              <w:t xml:space="preserve">Indicateur</w:t>
            </w:r>
          </w:p>
        </w:tc>
        <w:tc>
          <w:tcPr>
            <w:tcW w:type="dxa" w:w="1900"/>
            <w:tcBorders>
              <w:top w:val="single" w:color="B9C4D4" w:sz="1"/>
              <w:left w:val="single" w:color="B9C4D4" w:sz="1"/>
              <w:bottom w:val="single" w:color="B9C4D4" w:sz="1"/>
              <w:right w:val="single" w:color="B9C4D4" w:sz="1"/>
            </w:tcBorders>
            <w:shd w:fill="1E1B4B" w:val="clear"/>
            <w:tcMar>
              <w:top w:type="dxa" w:w="60"/>
              <w:left w:type="dxa" w:w="120"/>
              <w:bottom w:type="dxa" w:w="60"/>
              <w:right w:type="dxa" w:w="120"/>
            </w:tcMar>
            <w:vAlign w:val="center"/>
          </w:tcPr>
          <w:p>
            <w:r>
              <w:rPr>
                <w:b/>
                <w:bCs/>
                <w:color w:val="FFFFFF"/>
                <w:sz w:val="19"/>
                <w:szCs w:val="19"/>
              </w:rPr>
              <w:t xml:space="preserve">Cible</w:t>
            </w:r>
          </w:p>
        </w:tc>
        <w:tc>
          <w:tcPr>
            <w:tcW w:type="dxa" w:w="1900"/>
            <w:tcBorders>
              <w:top w:val="single" w:color="B9C4D4" w:sz="1"/>
              <w:left w:val="single" w:color="B9C4D4" w:sz="1"/>
              <w:bottom w:val="single" w:color="B9C4D4" w:sz="1"/>
              <w:right w:val="single" w:color="B9C4D4" w:sz="1"/>
            </w:tcBorders>
            <w:shd w:fill="1E1B4B" w:val="clear"/>
            <w:tcMar>
              <w:top w:type="dxa" w:w="60"/>
              <w:left w:type="dxa" w:w="120"/>
              <w:bottom w:type="dxa" w:w="60"/>
              <w:right w:type="dxa" w:w="120"/>
            </w:tcMar>
            <w:vAlign w:val="center"/>
          </w:tcPr>
          <w:p>
            <w:r>
              <w:rPr>
                <w:b/>
                <w:bCs/>
                <w:color w:val="FFFFFF"/>
                <w:sz w:val="19"/>
                <w:szCs w:val="19"/>
              </w:rPr>
              <w:t xml:space="preserve">Seuil d'alerte</w:t>
            </w:r>
          </w:p>
        </w:tc>
        <w:tc>
          <w:tcPr>
            <w:tcW w:type="dxa" w:w="2200"/>
            <w:tcBorders>
              <w:top w:val="single" w:color="B9C4D4" w:sz="1"/>
              <w:left w:val="single" w:color="B9C4D4" w:sz="1"/>
              <w:bottom w:val="single" w:color="B9C4D4" w:sz="1"/>
              <w:right w:val="single" w:color="B9C4D4" w:sz="1"/>
            </w:tcBorders>
            <w:shd w:fill="1E1B4B" w:val="clear"/>
            <w:tcMar>
              <w:top w:type="dxa" w:w="60"/>
              <w:left w:type="dxa" w:w="120"/>
              <w:bottom w:type="dxa" w:w="60"/>
              <w:right w:type="dxa" w:w="120"/>
            </w:tcMar>
            <w:vAlign w:val="center"/>
          </w:tcPr>
          <w:p>
            <w:r>
              <w:rPr>
                <w:b/>
                <w:bCs/>
                <w:color w:val="FFFFFF"/>
                <w:sz w:val="19"/>
                <w:szCs w:val="19"/>
              </w:rPr>
              <w:t xml:space="preserve">Source de mesure</w:t>
            </w:r>
          </w:p>
        </w:tc>
      </w:tr>
      <w:tr>
        <w:tc>
          <w:tcPr>
            <w:tcW w:type="dxa" w:w="3360"/>
            <w:tcBorders>
              <w:top w:val="single" w:color="B9C4D4" w:sz="1"/>
              <w:left w:val="single" w:color="B9C4D4" w:sz="1"/>
              <w:bottom w:val="single" w:color="B9C4D4" w:sz="1"/>
              <w:right w:val="single" w:color="B9C4D4" w:sz="1"/>
            </w:tcBorders>
            <w:tcMar>
              <w:top w:type="dxa" w:w="60"/>
              <w:left w:type="dxa" w:w="120"/>
              <w:bottom w:type="dxa" w:w="60"/>
              <w:right w:type="dxa" w:w="120"/>
            </w:tcMar>
            <w:vAlign w:val="center"/>
          </w:tcPr>
          <w:p>
            <w:r>
              <w:rPr>
                <w:b w:val="false"/>
                <w:bCs w:val="false"/>
                <w:color w:val="1A1A1A"/>
                <w:sz w:val="19"/>
                <w:szCs w:val="19"/>
              </w:rPr>
              <w:t xml:space="preserve">Latence médiane (10 QCM)</w:t>
            </w:r>
          </w:p>
        </w:tc>
        <w:tc>
          <w:tcPr>
            <w:tcW w:type="dxa" w:w="1900"/>
            <w:tcBorders>
              <w:top w:val="single" w:color="B9C4D4" w:sz="1"/>
              <w:left w:val="single" w:color="B9C4D4" w:sz="1"/>
              <w:bottom w:val="single" w:color="B9C4D4" w:sz="1"/>
              <w:right w:val="single" w:color="B9C4D4" w:sz="1"/>
            </w:tcBorders>
            <w:tcMar>
              <w:top w:type="dxa" w:w="60"/>
              <w:left w:type="dxa" w:w="120"/>
              <w:bottom w:type="dxa" w:w="60"/>
              <w:right w:type="dxa" w:w="120"/>
            </w:tcMar>
            <w:vAlign w:val="center"/>
          </w:tcPr>
          <w:p>
            <w:r>
              <w:rPr>
                <w:b/>
                <w:bCs/>
                <w:color w:val="16A34A"/>
                <w:sz w:val="19"/>
                <w:szCs w:val="19"/>
              </w:rPr>
              <w:t xml:space="preserve">&lt; 60 s</w:t>
            </w:r>
          </w:p>
        </w:tc>
        <w:tc>
          <w:tcPr>
            <w:tcW w:type="dxa" w:w="1900"/>
            <w:tcBorders>
              <w:top w:val="single" w:color="B9C4D4" w:sz="1"/>
              <w:left w:val="single" w:color="B9C4D4" w:sz="1"/>
              <w:bottom w:val="single" w:color="B9C4D4" w:sz="1"/>
              <w:right w:val="single" w:color="B9C4D4" w:sz="1"/>
            </w:tcBorders>
            <w:tcMar>
              <w:top w:type="dxa" w:w="60"/>
              <w:left w:type="dxa" w:w="120"/>
              <w:bottom w:type="dxa" w:w="60"/>
              <w:right w:type="dxa" w:w="120"/>
            </w:tcMar>
            <w:vAlign w:val="center"/>
          </w:tcPr>
          <w:p>
            <w:r>
              <w:rPr>
                <w:b w:val="false"/>
                <w:bCs w:val="false"/>
                <w:color w:val="DC2626"/>
                <w:sz w:val="19"/>
                <w:szCs w:val="19"/>
              </w:rPr>
              <w:t xml:space="preserve">&gt; 75 s</w:t>
            </w:r>
          </w:p>
        </w:tc>
        <w:tc>
          <w:tcPr>
            <w:tcW w:type="dxa" w:w="2200"/>
            <w:tcBorders>
              <w:top w:val="single" w:color="B9C4D4" w:sz="1"/>
              <w:left w:val="single" w:color="B9C4D4" w:sz="1"/>
              <w:bottom w:val="single" w:color="B9C4D4" w:sz="1"/>
              <w:right w:val="single" w:color="B9C4D4" w:sz="1"/>
            </w:tcBorders>
            <w:tcMar>
              <w:top w:type="dxa" w:w="60"/>
              <w:left w:type="dxa" w:w="120"/>
              <w:bottom w:type="dxa" w:w="60"/>
              <w:right w:type="dxa" w:w="120"/>
            </w:tcMar>
            <w:vAlign w:val="center"/>
          </w:tcPr>
          <w:p>
            <w:r>
              <w:rPr>
                <w:b w:val="false"/>
                <w:bCs w:val="false"/>
                <w:color w:val="1A1A1A"/>
                <w:sz w:val="19"/>
                <w:szCs w:val="19"/>
              </w:rPr>
              <w:t xml:space="preserve">benchmark_llm.py (total_duration)</w:t>
            </w:r>
          </w:p>
        </w:tc>
      </w:tr>
      <w:tr>
        <w:tc>
          <w:tcPr>
            <w:tcW w:type="dxa" w:w="3360"/>
            <w:tcBorders>
              <w:top w:val="single" w:color="B9C4D4" w:sz="1"/>
              <w:left w:val="single" w:color="B9C4D4" w:sz="1"/>
              <w:bottom w:val="single" w:color="B9C4D4" w:sz="1"/>
              <w:right w:val="single" w:color="B9C4D4" w:sz="1"/>
            </w:tcBorders>
            <w:tcMar>
              <w:top w:type="dxa" w:w="60"/>
              <w:left w:type="dxa" w:w="120"/>
              <w:bottom w:type="dxa" w:w="60"/>
              <w:right w:type="dxa" w:w="120"/>
            </w:tcMar>
            <w:vAlign w:val="center"/>
          </w:tcPr>
          <w:p>
            <w:r>
              <w:rPr>
                <w:b w:val="false"/>
                <w:bCs w:val="false"/>
                <w:color w:val="1A1A1A"/>
                <w:sz w:val="19"/>
                <w:szCs w:val="19"/>
              </w:rPr>
              <w:t xml:space="preserve">Latence p95</w:t>
            </w:r>
          </w:p>
        </w:tc>
        <w:tc>
          <w:tcPr>
            <w:tcW w:type="dxa" w:w="1900"/>
            <w:tcBorders>
              <w:top w:val="single" w:color="B9C4D4" w:sz="1"/>
              <w:left w:val="single" w:color="B9C4D4" w:sz="1"/>
              <w:bottom w:val="single" w:color="B9C4D4" w:sz="1"/>
              <w:right w:val="single" w:color="B9C4D4" w:sz="1"/>
            </w:tcBorders>
            <w:tcMar>
              <w:top w:type="dxa" w:w="60"/>
              <w:left w:type="dxa" w:w="120"/>
              <w:bottom w:type="dxa" w:w="60"/>
              <w:right w:type="dxa" w:w="120"/>
            </w:tcMar>
            <w:vAlign w:val="center"/>
          </w:tcPr>
          <w:p>
            <w:r>
              <w:rPr>
                <w:b/>
                <w:bCs/>
                <w:color w:val="16A34A"/>
                <w:sz w:val="19"/>
                <w:szCs w:val="19"/>
              </w:rPr>
              <w:t xml:space="preserve">&lt; 90 s</w:t>
            </w:r>
          </w:p>
        </w:tc>
        <w:tc>
          <w:tcPr>
            <w:tcW w:type="dxa" w:w="1900"/>
            <w:tcBorders>
              <w:top w:val="single" w:color="B9C4D4" w:sz="1"/>
              <w:left w:val="single" w:color="B9C4D4" w:sz="1"/>
              <w:bottom w:val="single" w:color="B9C4D4" w:sz="1"/>
              <w:right w:val="single" w:color="B9C4D4" w:sz="1"/>
            </w:tcBorders>
            <w:tcMar>
              <w:top w:type="dxa" w:w="60"/>
              <w:left w:type="dxa" w:w="120"/>
              <w:bottom w:type="dxa" w:w="60"/>
              <w:right w:type="dxa" w:w="120"/>
            </w:tcMar>
            <w:vAlign w:val="center"/>
          </w:tcPr>
          <w:p>
            <w:r>
              <w:rPr>
                <w:b w:val="false"/>
                <w:bCs w:val="false"/>
                <w:color w:val="DC2626"/>
                <w:sz w:val="19"/>
                <w:szCs w:val="19"/>
              </w:rPr>
              <w:t xml:space="preserve">&gt; 120 s</w:t>
            </w:r>
          </w:p>
        </w:tc>
        <w:tc>
          <w:tcPr>
            <w:tcW w:type="dxa" w:w="2200"/>
            <w:tcBorders>
              <w:top w:val="single" w:color="B9C4D4" w:sz="1"/>
              <w:left w:val="single" w:color="B9C4D4" w:sz="1"/>
              <w:bottom w:val="single" w:color="B9C4D4" w:sz="1"/>
              <w:right w:val="single" w:color="B9C4D4" w:sz="1"/>
            </w:tcBorders>
            <w:tcMar>
              <w:top w:type="dxa" w:w="60"/>
              <w:left w:type="dxa" w:w="120"/>
              <w:bottom w:type="dxa" w:w="60"/>
              <w:right w:type="dxa" w:w="120"/>
            </w:tcMar>
            <w:vAlign w:val="center"/>
          </w:tcPr>
          <w:p>
            <w:r>
              <w:rPr>
                <w:b w:val="false"/>
                <w:bCs w:val="false"/>
                <w:color w:val="1A1A1A"/>
                <w:sz w:val="19"/>
                <w:szCs w:val="19"/>
              </w:rPr>
              <w:t xml:space="preserve">benchmark_llm.py</w:t>
            </w:r>
          </w:p>
        </w:tc>
      </w:tr>
      <w:tr>
        <w:tc>
          <w:tcPr>
            <w:tcW w:type="dxa" w:w="3360"/>
            <w:tcBorders>
              <w:top w:val="single" w:color="B9C4D4" w:sz="1"/>
              <w:left w:val="single" w:color="B9C4D4" w:sz="1"/>
              <w:bottom w:val="single" w:color="B9C4D4" w:sz="1"/>
              <w:right w:val="single" w:color="B9C4D4" w:sz="1"/>
            </w:tcBorders>
            <w:tcMar>
              <w:top w:type="dxa" w:w="60"/>
              <w:left w:type="dxa" w:w="120"/>
              <w:bottom w:type="dxa" w:w="60"/>
              <w:right w:type="dxa" w:w="120"/>
            </w:tcMar>
            <w:vAlign w:val="center"/>
          </w:tcPr>
          <w:p>
            <w:r>
              <w:rPr>
                <w:b w:val="false"/>
                <w:bCs w:val="false"/>
                <w:color w:val="1A1A1A"/>
                <w:sz w:val="19"/>
                <w:szCs w:val="19"/>
              </w:rPr>
              <w:t xml:space="preserve">Sorties JSON valides</w:t>
            </w:r>
          </w:p>
        </w:tc>
        <w:tc>
          <w:tcPr>
            <w:tcW w:type="dxa" w:w="1900"/>
            <w:tcBorders>
              <w:top w:val="single" w:color="B9C4D4" w:sz="1"/>
              <w:left w:val="single" w:color="B9C4D4" w:sz="1"/>
              <w:bottom w:val="single" w:color="B9C4D4" w:sz="1"/>
              <w:right w:val="single" w:color="B9C4D4" w:sz="1"/>
            </w:tcBorders>
            <w:tcMar>
              <w:top w:type="dxa" w:w="60"/>
              <w:left w:type="dxa" w:w="120"/>
              <w:bottom w:type="dxa" w:w="60"/>
              <w:right w:type="dxa" w:w="120"/>
            </w:tcMar>
            <w:vAlign w:val="center"/>
          </w:tcPr>
          <w:p>
            <w:r>
              <w:rPr>
                <w:b/>
                <w:bCs/>
                <w:color w:val="16A34A"/>
                <w:sz w:val="19"/>
                <w:szCs w:val="19"/>
              </w:rPr>
              <w:t xml:space="preserve">&gt;= 95 %</w:t>
            </w:r>
          </w:p>
        </w:tc>
        <w:tc>
          <w:tcPr>
            <w:tcW w:type="dxa" w:w="1900"/>
            <w:tcBorders>
              <w:top w:val="single" w:color="B9C4D4" w:sz="1"/>
              <w:left w:val="single" w:color="B9C4D4" w:sz="1"/>
              <w:bottom w:val="single" w:color="B9C4D4" w:sz="1"/>
              <w:right w:val="single" w:color="B9C4D4" w:sz="1"/>
            </w:tcBorders>
            <w:tcMar>
              <w:top w:type="dxa" w:w="60"/>
              <w:left w:type="dxa" w:w="120"/>
              <w:bottom w:type="dxa" w:w="60"/>
              <w:right w:type="dxa" w:w="120"/>
            </w:tcMar>
            <w:vAlign w:val="center"/>
          </w:tcPr>
          <w:p>
            <w:r>
              <w:rPr>
                <w:b w:val="false"/>
                <w:bCs w:val="false"/>
                <w:color w:val="DC2626"/>
                <w:sz w:val="19"/>
                <w:szCs w:val="19"/>
              </w:rPr>
              <w:t xml:space="preserve">&lt; 90 %</w:t>
            </w:r>
          </w:p>
        </w:tc>
        <w:tc>
          <w:tcPr>
            <w:tcW w:type="dxa" w:w="2200"/>
            <w:tcBorders>
              <w:top w:val="single" w:color="B9C4D4" w:sz="1"/>
              <w:left w:val="single" w:color="B9C4D4" w:sz="1"/>
              <w:bottom w:val="single" w:color="B9C4D4" w:sz="1"/>
              <w:right w:val="single" w:color="B9C4D4" w:sz="1"/>
            </w:tcBorders>
            <w:tcMar>
              <w:top w:type="dxa" w:w="60"/>
              <w:left w:type="dxa" w:w="120"/>
              <w:bottom w:type="dxa" w:w="60"/>
              <w:right w:type="dxa" w:w="120"/>
            </w:tcMar>
            <w:vAlign w:val="center"/>
          </w:tcPr>
          <w:p>
            <w:r>
              <w:rPr>
                <w:b w:val="false"/>
                <w:bCs w:val="false"/>
                <w:color w:val="1A1A1A"/>
                <w:sz w:val="19"/>
                <w:szCs w:val="19"/>
              </w:rPr>
              <w:t xml:space="preserve">validation auto (10 QCM bien formes)</w:t>
            </w:r>
          </w:p>
        </w:tc>
      </w:tr>
      <w:tr>
        <w:tc>
          <w:tcPr>
            <w:tcW w:type="dxa" w:w="3360"/>
            <w:tcBorders>
              <w:top w:val="single" w:color="B9C4D4" w:sz="1"/>
              <w:left w:val="single" w:color="B9C4D4" w:sz="1"/>
              <w:bottom w:val="single" w:color="B9C4D4" w:sz="1"/>
              <w:right w:val="single" w:color="B9C4D4" w:sz="1"/>
            </w:tcBorders>
            <w:tcMar>
              <w:top w:type="dxa" w:w="60"/>
              <w:left w:type="dxa" w:w="120"/>
              <w:bottom w:type="dxa" w:w="60"/>
              <w:right w:type="dxa" w:w="120"/>
            </w:tcMar>
            <w:vAlign w:val="center"/>
          </w:tcPr>
          <w:p>
            <w:r>
              <w:rPr>
                <w:b w:val="false"/>
                <w:bCs w:val="false"/>
                <w:color w:val="1A1A1A"/>
                <w:sz w:val="19"/>
                <w:szCs w:val="19"/>
              </w:rPr>
              <w:t xml:space="preserve">Qualité pédagogique FR</w:t>
            </w:r>
          </w:p>
        </w:tc>
        <w:tc>
          <w:tcPr>
            <w:tcW w:type="dxa" w:w="1900"/>
            <w:tcBorders>
              <w:top w:val="single" w:color="B9C4D4" w:sz="1"/>
              <w:left w:val="single" w:color="B9C4D4" w:sz="1"/>
              <w:bottom w:val="single" w:color="B9C4D4" w:sz="1"/>
              <w:right w:val="single" w:color="B9C4D4" w:sz="1"/>
            </w:tcBorders>
            <w:tcMar>
              <w:top w:type="dxa" w:w="60"/>
              <w:left w:type="dxa" w:w="120"/>
              <w:bottom w:type="dxa" w:w="60"/>
              <w:right w:type="dxa" w:w="120"/>
            </w:tcMar>
            <w:vAlign w:val="center"/>
          </w:tcPr>
          <w:p>
            <w:r>
              <w:rPr>
                <w:b/>
                <w:bCs/>
                <w:color w:val="16A34A"/>
                <w:sz w:val="19"/>
                <w:szCs w:val="19"/>
              </w:rPr>
              <w:t xml:space="preserve">&gt;= 7 / 10</w:t>
            </w:r>
          </w:p>
        </w:tc>
        <w:tc>
          <w:tcPr>
            <w:tcW w:type="dxa" w:w="1900"/>
            <w:tcBorders>
              <w:top w:val="single" w:color="B9C4D4" w:sz="1"/>
              <w:left w:val="single" w:color="B9C4D4" w:sz="1"/>
              <w:bottom w:val="single" w:color="B9C4D4" w:sz="1"/>
              <w:right w:val="single" w:color="B9C4D4" w:sz="1"/>
            </w:tcBorders>
            <w:tcMar>
              <w:top w:type="dxa" w:w="60"/>
              <w:left w:type="dxa" w:w="120"/>
              <w:bottom w:type="dxa" w:w="60"/>
              <w:right w:type="dxa" w:w="120"/>
            </w:tcMar>
            <w:vAlign w:val="center"/>
          </w:tcPr>
          <w:p>
            <w:r>
              <w:rPr>
                <w:b w:val="false"/>
                <w:bCs w:val="false"/>
                <w:color w:val="DC2626"/>
                <w:sz w:val="19"/>
                <w:szCs w:val="19"/>
              </w:rPr>
              <w:t xml:space="preserve">&lt; 6 / 10</w:t>
            </w:r>
          </w:p>
        </w:tc>
        <w:tc>
          <w:tcPr>
            <w:tcW w:type="dxa" w:w="2200"/>
            <w:tcBorders>
              <w:top w:val="single" w:color="B9C4D4" w:sz="1"/>
              <w:left w:val="single" w:color="B9C4D4" w:sz="1"/>
              <w:bottom w:val="single" w:color="B9C4D4" w:sz="1"/>
              <w:right w:val="single" w:color="B9C4D4" w:sz="1"/>
            </w:tcBorders>
            <w:tcMar>
              <w:top w:type="dxa" w:w="60"/>
              <w:left w:type="dxa" w:w="120"/>
              <w:bottom w:type="dxa" w:w="60"/>
              <w:right w:type="dxa" w:w="120"/>
            </w:tcMar>
            <w:vAlign w:val="center"/>
          </w:tcPr>
          <w:p>
            <w:r>
              <w:rPr>
                <w:b w:val="false"/>
                <w:bCs w:val="false"/>
                <w:color w:val="1A1A1A"/>
                <w:sz w:val="19"/>
                <w:szCs w:val="19"/>
              </w:rPr>
              <w:t xml:space="preserve">grille humaine (3 quiz / modele)</w:t>
            </w:r>
          </w:p>
        </w:tc>
      </w:tr>
      <w:tr>
        <w:tc>
          <w:tcPr>
            <w:tcW w:type="dxa" w:w="3360"/>
            <w:tcBorders>
              <w:top w:val="single" w:color="B9C4D4" w:sz="1"/>
              <w:left w:val="single" w:color="B9C4D4" w:sz="1"/>
              <w:bottom w:val="single" w:color="B9C4D4" w:sz="1"/>
              <w:right w:val="single" w:color="B9C4D4" w:sz="1"/>
            </w:tcBorders>
            <w:tcMar>
              <w:top w:type="dxa" w:w="60"/>
              <w:left w:type="dxa" w:w="120"/>
              <w:bottom w:type="dxa" w:w="60"/>
              <w:right w:type="dxa" w:w="120"/>
            </w:tcMar>
            <w:vAlign w:val="center"/>
          </w:tcPr>
          <w:p>
            <w:r>
              <w:rPr>
                <w:b w:val="false"/>
                <w:bCs w:val="false"/>
                <w:color w:val="1A1A1A"/>
                <w:sz w:val="19"/>
                <w:szCs w:val="19"/>
              </w:rPr>
              <w:t xml:space="preserve">Empreinte RAM du modèle</w:t>
            </w:r>
          </w:p>
        </w:tc>
        <w:tc>
          <w:tcPr>
            <w:tcW w:type="dxa" w:w="1900"/>
            <w:tcBorders>
              <w:top w:val="single" w:color="B9C4D4" w:sz="1"/>
              <w:left w:val="single" w:color="B9C4D4" w:sz="1"/>
              <w:bottom w:val="single" w:color="B9C4D4" w:sz="1"/>
              <w:right w:val="single" w:color="B9C4D4" w:sz="1"/>
            </w:tcBorders>
            <w:tcMar>
              <w:top w:type="dxa" w:w="60"/>
              <w:left w:type="dxa" w:w="120"/>
              <w:bottom w:type="dxa" w:w="60"/>
              <w:right w:type="dxa" w:w="120"/>
            </w:tcMar>
            <w:vAlign w:val="center"/>
          </w:tcPr>
          <w:p>
            <w:r>
              <w:rPr>
                <w:b/>
                <w:bCs/>
                <w:color w:val="16A34A"/>
                <w:sz w:val="19"/>
                <w:szCs w:val="19"/>
              </w:rPr>
              <w:t xml:space="preserve">&lt;= 5 Go</w:t>
            </w:r>
          </w:p>
        </w:tc>
        <w:tc>
          <w:tcPr>
            <w:tcW w:type="dxa" w:w="1900"/>
            <w:tcBorders>
              <w:top w:val="single" w:color="B9C4D4" w:sz="1"/>
              <w:left w:val="single" w:color="B9C4D4" w:sz="1"/>
              <w:bottom w:val="single" w:color="B9C4D4" w:sz="1"/>
              <w:right w:val="single" w:color="B9C4D4" w:sz="1"/>
            </w:tcBorders>
            <w:tcMar>
              <w:top w:type="dxa" w:w="60"/>
              <w:left w:type="dxa" w:w="120"/>
              <w:bottom w:type="dxa" w:w="60"/>
              <w:right w:type="dxa" w:w="120"/>
            </w:tcMar>
            <w:vAlign w:val="center"/>
          </w:tcPr>
          <w:p>
            <w:r>
              <w:rPr>
                <w:b w:val="false"/>
                <w:bCs w:val="false"/>
                <w:color w:val="DC2626"/>
                <w:sz w:val="19"/>
                <w:szCs w:val="19"/>
              </w:rPr>
              <w:t xml:space="preserve">&gt; 6 Go</w:t>
            </w:r>
          </w:p>
        </w:tc>
        <w:tc>
          <w:tcPr>
            <w:tcW w:type="dxa" w:w="2200"/>
            <w:tcBorders>
              <w:top w:val="single" w:color="B9C4D4" w:sz="1"/>
              <w:left w:val="single" w:color="B9C4D4" w:sz="1"/>
              <w:bottom w:val="single" w:color="B9C4D4" w:sz="1"/>
              <w:right w:val="single" w:color="B9C4D4" w:sz="1"/>
            </w:tcBorders>
            <w:tcMar>
              <w:top w:type="dxa" w:w="60"/>
              <w:left w:type="dxa" w:w="120"/>
              <w:bottom w:type="dxa" w:w="60"/>
              <w:right w:type="dxa" w:w="120"/>
            </w:tcMar>
            <w:vAlign w:val="center"/>
          </w:tcPr>
          <w:p>
            <w:r>
              <w:rPr>
                <w:b w:val="false"/>
                <w:bCs w:val="false"/>
                <w:color w:val="1A1A1A"/>
                <w:sz w:val="19"/>
                <w:szCs w:val="19"/>
              </w:rPr>
              <w:t xml:space="preserve">ollama ps</w:t>
            </w:r>
          </w:p>
        </w:tc>
      </w:tr>
      <w:tr>
        <w:tc>
          <w:tcPr>
            <w:tcW w:type="dxa" w:w="3360"/>
            <w:tcBorders>
              <w:top w:val="single" w:color="B9C4D4" w:sz="1"/>
              <w:left w:val="single" w:color="B9C4D4" w:sz="1"/>
              <w:bottom w:val="single" w:color="B9C4D4" w:sz="1"/>
              <w:right w:val="single" w:color="B9C4D4" w:sz="1"/>
            </w:tcBorders>
            <w:tcMar>
              <w:top w:type="dxa" w:w="60"/>
              <w:left w:type="dxa" w:w="120"/>
              <w:bottom w:type="dxa" w:w="60"/>
              <w:right w:type="dxa" w:w="120"/>
            </w:tcMar>
            <w:vAlign w:val="center"/>
          </w:tcPr>
          <w:p>
            <w:r>
              <w:rPr>
                <w:b w:val="false"/>
                <w:bCs w:val="false"/>
                <w:color w:val="1A1A1A"/>
                <w:sz w:val="19"/>
                <w:szCs w:val="19"/>
              </w:rPr>
              <w:t xml:space="preserve">Quiz signalés « erreur factuelle »</w:t>
            </w:r>
          </w:p>
        </w:tc>
        <w:tc>
          <w:tcPr>
            <w:tcW w:type="dxa" w:w="1900"/>
            <w:tcBorders>
              <w:top w:val="single" w:color="B9C4D4" w:sz="1"/>
              <w:left w:val="single" w:color="B9C4D4" w:sz="1"/>
              <w:bottom w:val="single" w:color="B9C4D4" w:sz="1"/>
              <w:right w:val="single" w:color="B9C4D4" w:sz="1"/>
            </w:tcBorders>
            <w:tcMar>
              <w:top w:type="dxa" w:w="60"/>
              <w:left w:type="dxa" w:w="120"/>
              <w:bottom w:type="dxa" w:w="60"/>
              <w:right w:type="dxa" w:w="120"/>
            </w:tcMar>
            <w:vAlign w:val="center"/>
          </w:tcPr>
          <w:p>
            <w:r>
              <w:rPr>
                <w:b/>
                <w:bCs/>
                <w:color w:val="16A34A"/>
                <w:sz w:val="19"/>
                <w:szCs w:val="19"/>
              </w:rPr>
              <w:t xml:space="preserve">&lt; 5 %</w:t>
            </w:r>
          </w:p>
        </w:tc>
        <w:tc>
          <w:tcPr>
            <w:tcW w:type="dxa" w:w="1900"/>
            <w:tcBorders>
              <w:top w:val="single" w:color="B9C4D4" w:sz="1"/>
              <w:left w:val="single" w:color="B9C4D4" w:sz="1"/>
              <w:bottom w:val="single" w:color="B9C4D4" w:sz="1"/>
              <w:right w:val="single" w:color="B9C4D4" w:sz="1"/>
            </w:tcBorders>
            <w:tcMar>
              <w:top w:type="dxa" w:w="60"/>
              <w:left w:type="dxa" w:w="120"/>
              <w:bottom w:type="dxa" w:w="60"/>
              <w:right w:type="dxa" w:w="120"/>
            </w:tcMar>
            <w:vAlign w:val="center"/>
          </w:tcPr>
          <w:p>
            <w:r>
              <w:rPr>
                <w:b w:val="false"/>
                <w:bCs w:val="false"/>
                <w:color w:val="DC2626"/>
                <w:sz w:val="19"/>
                <w:szCs w:val="19"/>
              </w:rPr>
              <w:t xml:space="preserve">&gt; 10 %</w:t>
            </w:r>
          </w:p>
        </w:tc>
        <w:tc>
          <w:tcPr>
            <w:tcW w:type="dxa" w:w="2200"/>
            <w:tcBorders>
              <w:top w:val="single" w:color="B9C4D4" w:sz="1"/>
              <w:left w:val="single" w:color="B9C4D4" w:sz="1"/>
              <w:bottom w:val="single" w:color="B9C4D4" w:sz="1"/>
              <w:right w:val="single" w:color="B9C4D4" w:sz="1"/>
            </w:tcBorders>
            <w:tcMar>
              <w:top w:type="dxa" w:w="60"/>
              <w:left w:type="dxa" w:w="120"/>
              <w:bottom w:type="dxa" w:w="60"/>
              <w:right w:type="dxa" w:w="120"/>
            </w:tcMar>
            <w:vAlign w:val="center"/>
          </w:tcPr>
          <w:p>
            <w:r>
              <w:rPr>
                <w:b w:val="false"/>
                <w:bCs w:val="false"/>
                <w:color w:val="1A1A1A"/>
                <w:sz w:val="19"/>
                <w:szCs w:val="19"/>
              </w:rPr>
              <w:t xml:space="preserve">retours utilisateurs (post-MVP)</w:t>
            </w:r>
          </w:p>
        </w:tc>
      </w:tr>
    </w:tbl>
    <w:p>
      <w:pPr>
        <w:pStyle w:val="Heading1"/>
        <w:spacing w:after="140" w:before="280"/>
      </w:pPr>
      <w:r>
        <w:rPr>
          <w:rFonts w:ascii="Arial" w:cs="Arial" w:eastAsia="Arial" w:hAnsi="Arial"/>
          <w:b/>
          <w:bCs/>
          <w:color w:val="1E1B4B"/>
        </w:rPr>
        <w:t xml:space="preserve">7. Impact sur le backlog</w:t>
      </w:r>
    </w:p>
    <w:p>
      <w:pPr>
        <w:spacing w:after="120" w:line="276"/>
      </w:pPr>
      <w:r>
        <w:rPr>
          <w:b/>
          <w:bCs/>
          <w:color w:val="1E1B4B"/>
          <w:sz w:val="21"/>
          <w:szCs w:val="21"/>
        </w:rPr>
        <w:t xml:space="preserve">US-03. </w:t>
      </w:r>
      <w:r>
        <w:rPr>
          <w:color w:val="1A1A1A"/>
          <w:sz w:val="21"/>
          <w:szCs w:val="21"/>
        </w:rPr>
        <w:t xml:space="preserve">À ré-estimer (8 SP initiaux) selon la latence et l'effort d'intégration du nouveau modèle ; le critère d'acceptation « via Llama 3.1 8B » devient « via le modèle retenu (Qwen2.5 7B) ».</w:t>
      </w:r>
    </w:p>
    <w:p>
      <w:pPr>
        <w:spacing w:after="120" w:line="276"/>
      </w:pPr>
      <w:r>
        <w:rPr>
          <w:b/>
          <w:bCs/>
          <w:color w:val="1E1B4B"/>
          <w:sz w:val="21"/>
          <w:szCs w:val="21"/>
        </w:rPr>
        <w:t xml:space="preserve">Nouvelles tâches (Sprint 2 / 3). </w:t>
      </w:r>
      <w:r>
        <w:rPr>
          <w:color w:val="1A1A1A"/>
          <w:sz w:val="21"/>
          <w:szCs w:val="21"/>
        </w:rPr>
        <w:t xml:space="preserve">Installation et intégration du modèle retenu, re-test de qualité FR, ajustement du prompt, rédaction de l'ADR-0003 et de la carte-rétro de perturbation.</w:t>
      </w:r>
    </w:p>
    <w:p>
      <w:pPr>
        <w:spacing w:after="120" w:line="276"/>
      </w:pPr>
      <w:r>
        <w:rPr>
          <w:b/>
          <w:bCs/>
          <w:color w:val="1E1B4B"/>
          <w:sz w:val="21"/>
          <w:szCs w:val="21"/>
        </w:rPr>
        <w:t xml:space="preserve">Release Planning. </w:t>
      </w:r>
      <w:r>
        <w:rPr>
          <w:color w:val="1A1A1A"/>
          <w:sz w:val="21"/>
          <w:szCs w:val="21"/>
        </w:rPr>
        <w:t xml:space="preserve">Cohérent avec le plan : Sprint 2 « perturbation J2 (latence) » puis Sprint 3 « intégration ADR-J2 ». Pas de glissement de la Release 1 (MVP) attendu.</w:t>
      </w:r>
    </w:p>
    <w:p>
      <w:pPr>
        <w:pStyle w:val="Heading1"/>
        <w:spacing w:after="140" w:before="280"/>
      </w:pPr>
      <w:r>
        <w:rPr>
          <w:rFonts w:ascii="Arial" w:cs="Arial" w:eastAsia="Arial" w:hAnsi="Arial"/>
          <w:b/>
          <w:bCs/>
          <w:color w:val="1E1B4B"/>
        </w:rPr>
        <w:t xml:space="preserve">8. Validation Product Owner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9C4D4" w:sz="1"/>
              <w:left w:val="single" w:color="B9C4D4" w:sz="1"/>
              <w:bottom w:val="single" w:color="B9C4D4" w:sz="1"/>
              <w:right w:val="single" w:color="B9C4D4" w:sz="1"/>
            </w:tcBorders>
            <w:shd w:fill="1E1B4B" w:val="clear"/>
            <w:tcMar>
              <w:top w:type="dxa" w:w="60"/>
              <w:left w:type="dxa" w:w="120"/>
              <w:bottom w:type="dxa" w:w="60"/>
              <w:right w:type="dxa" w:w="120"/>
            </w:tcMar>
            <w:vAlign w:val="center"/>
          </w:tcPr>
          <w:p>
            <w:r>
              <w:rPr>
                <w:b/>
                <w:bCs/>
                <w:color w:val="FFFFFF"/>
                <w:sz w:val="19"/>
                <w:szCs w:val="19"/>
              </w:rPr>
              <w:t xml:space="preserve">VALIDATION PRODUCT OWNER</w:t>
            </w:r>
          </w:p>
        </w:tc>
        <w:tc>
          <w:tcPr>
            <w:tcW w:type="dxa" w:w="6760"/>
            <w:tcBorders>
              <w:top w:val="single" w:color="B9C4D4" w:sz="1"/>
              <w:left w:val="single" w:color="B9C4D4" w:sz="1"/>
              <w:bottom w:val="single" w:color="B9C4D4" w:sz="1"/>
              <w:right w:val="single" w:color="B9C4D4" w:sz="1"/>
            </w:tcBorders>
            <w:shd w:fill="1E1B4B" w:val="clear"/>
            <w:tcMar>
              <w:top w:type="dxa" w:w="60"/>
              <w:left w:type="dxa" w:w="120"/>
              <w:bottom w:type="dxa" w:w="60"/>
              <w:right w:type="dxa" w:w="120"/>
            </w:tcMar>
            <w:vAlign w:val="center"/>
          </w:tcPr>
          <w:p>
            <w:r>
              <w:rPr>
                <w:b w:val="false"/>
                <w:bCs w:val="false"/>
                <w:color w:val="1A1A1A"/>
                <w:sz w:val="19"/>
                <w:szCs w:val="19"/>
              </w:rPr>
              <w:t xml:space="preserve"/>
            </w:r>
          </w:p>
        </w:tc>
      </w:tr>
      <w:tr>
        <w:tc>
          <w:tcPr>
            <w:tcW w:type="dxa" w:w="2600"/>
            <w:tcBorders>
              <w:top w:val="single" w:color="B9C4D4" w:sz="1"/>
              <w:left w:val="single" w:color="B9C4D4" w:sz="1"/>
              <w:bottom w:val="single" w:color="B9C4D4" w:sz="1"/>
              <w:right w:val="single" w:color="B9C4D4" w:sz="1"/>
            </w:tcBorders>
            <w:shd w:fill="EBF3FA" w:val="clear"/>
            <w:tcMar>
              <w:top w:type="dxa" w:w="60"/>
              <w:left w:type="dxa" w:w="120"/>
              <w:bottom w:type="dxa" w:w="60"/>
              <w:right w:type="dxa" w:w="120"/>
            </w:tcMar>
            <w:vAlign w:val="center"/>
          </w:tcPr>
          <w:p>
            <w:r>
              <w:rPr>
                <w:b/>
                <w:bCs/>
                <w:color w:val="1E1B4B"/>
                <w:sz w:val="19"/>
                <w:szCs w:val="19"/>
              </w:rPr>
              <w:t xml:space="preserve">Décision validée par</w:t>
            </w:r>
          </w:p>
        </w:tc>
        <w:tc>
          <w:tcPr>
            <w:tcW w:type="dxa" w:w="6760"/>
            <w:tcBorders>
              <w:top w:val="single" w:color="B9C4D4" w:sz="1"/>
              <w:left w:val="single" w:color="B9C4D4" w:sz="1"/>
              <w:bottom w:val="single" w:color="B9C4D4" w:sz="1"/>
              <w:right w:val="single" w:color="B9C4D4" w:sz="1"/>
            </w:tcBorders>
            <w:tcMar>
              <w:top w:type="dxa" w:w="60"/>
              <w:left w:type="dxa" w:w="120"/>
              <w:bottom w:type="dxa" w:w="60"/>
              <w:right w:type="dxa" w:w="120"/>
            </w:tcMar>
            <w:vAlign w:val="center"/>
          </w:tcPr>
          <w:p>
            <w:r>
              <w:rPr>
                <w:b w:val="false"/>
                <w:bCs w:val="false"/>
                <w:color w:val="1A1A1A"/>
                <w:sz w:val="19"/>
                <w:szCs w:val="19"/>
              </w:rPr>
              <w:t xml:space="preserve">______________________________ (PO)</w:t>
            </w:r>
          </w:p>
        </w:tc>
      </w:tr>
      <w:tr>
        <w:tc>
          <w:tcPr>
            <w:tcW w:type="dxa" w:w="2600"/>
            <w:tcBorders>
              <w:top w:val="single" w:color="B9C4D4" w:sz="1"/>
              <w:left w:val="single" w:color="B9C4D4" w:sz="1"/>
              <w:bottom w:val="single" w:color="B9C4D4" w:sz="1"/>
              <w:right w:val="single" w:color="B9C4D4" w:sz="1"/>
            </w:tcBorders>
            <w:shd w:fill="EBF3FA" w:val="clear"/>
            <w:tcMar>
              <w:top w:type="dxa" w:w="60"/>
              <w:left w:type="dxa" w:w="120"/>
              <w:bottom w:type="dxa" w:w="60"/>
              <w:right w:type="dxa" w:w="120"/>
            </w:tcMar>
            <w:vAlign w:val="center"/>
          </w:tcPr>
          <w:p>
            <w:r>
              <w:rPr>
                <w:b/>
                <w:bCs/>
                <w:color w:val="1E1B4B"/>
                <w:sz w:val="19"/>
                <w:szCs w:val="19"/>
              </w:rPr>
              <w:t xml:space="preserve">Date de validation</w:t>
            </w:r>
          </w:p>
        </w:tc>
        <w:tc>
          <w:tcPr>
            <w:tcW w:type="dxa" w:w="6760"/>
            <w:tcBorders>
              <w:top w:val="single" w:color="B9C4D4" w:sz="1"/>
              <w:left w:val="single" w:color="B9C4D4" w:sz="1"/>
              <w:bottom w:val="single" w:color="B9C4D4" w:sz="1"/>
              <w:right w:val="single" w:color="B9C4D4" w:sz="1"/>
            </w:tcBorders>
            <w:tcMar>
              <w:top w:type="dxa" w:w="60"/>
              <w:left w:type="dxa" w:w="120"/>
              <w:bottom w:type="dxa" w:w="60"/>
              <w:right w:type="dxa" w:w="120"/>
            </w:tcMar>
            <w:vAlign w:val="center"/>
          </w:tcPr>
          <w:p>
            <w:r>
              <w:rPr>
                <w:b w:val="false"/>
                <w:bCs w:val="false"/>
                <w:color w:val="1A1A1A"/>
                <w:sz w:val="19"/>
                <w:szCs w:val="19"/>
              </w:rPr>
              <w:t xml:space="preserve">____ / ____ / 2026</w:t>
            </w:r>
          </w:p>
        </w:tc>
      </w:tr>
      <w:tr>
        <w:tc>
          <w:tcPr>
            <w:tcW w:type="dxa" w:w="2600"/>
            <w:tcBorders>
              <w:top w:val="single" w:color="B9C4D4" w:sz="1"/>
              <w:left w:val="single" w:color="B9C4D4" w:sz="1"/>
              <w:bottom w:val="single" w:color="B9C4D4" w:sz="1"/>
              <w:right w:val="single" w:color="B9C4D4" w:sz="1"/>
            </w:tcBorders>
            <w:shd w:fill="EBF3FA" w:val="clear"/>
            <w:tcMar>
              <w:top w:type="dxa" w:w="60"/>
              <w:left w:type="dxa" w:w="120"/>
              <w:bottom w:type="dxa" w:w="60"/>
              <w:right w:type="dxa" w:w="120"/>
            </w:tcMar>
            <w:vAlign w:val="center"/>
          </w:tcPr>
          <w:p>
            <w:r>
              <w:rPr>
                <w:b/>
                <w:bCs/>
                <w:color w:val="1E1B4B"/>
                <w:sz w:val="19"/>
                <w:szCs w:val="19"/>
              </w:rPr>
              <w:t xml:space="preserve">Trace écrite</w:t>
            </w:r>
          </w:p>
        </w:tc>
        <w:tc>
          <w:tcPr>
            <w:tcW w:type="dxa" w:w="6760"/>
            <w:tcBorders>
              <w:top w:val="single" w:color="B9C4D4" w:sz="1"/>
              <w:left w:val="single" w:color="B9C4D4" w:sz="1"/>
              <w:bottom w:val="single" w:color="B9C4D4" w:sz="1"/>
              <w:right w:val="single" w:color="B9C4D4" w:sz="1"/>
            </w:tcBorders>
            <w:tcMar>
              <w:top w:type="dxa" w:w="60"/>
              <w:left w:type="dxa" w:w="120"/>
              <w:bottom w:type="dxa" w:w="60"/>
              <w:right w:type="dxa" w:w="120"/>
            </w:tcMar>
            <w:vAlign w:val="center"/>
          </w:tcPr>
          <w:p>
            <w:r>
              <w:rPr>
                <w:b w:val="false"/>
                <w:bCs w:val="false"/>
                <w:color w:val="1A1A1A"/>
                <w:sz w:val="19"/>
                <w:szCs w:val="19"/>
              </w:rPr>
              <w:t xml:space="preserve">Commit Git ADR-0003 / mail / message Teams (référencer le lien)</w:t>
            </w:r>
          </w:p>
        </w:tc>
      </w:tr>
      <w:tr>
        <w:tc>
          <w:tcPr>
            <w:tcW w:type="dxa" w:w="2600"/>
            <w:tcBorders>
              <w:top w:val="single" w:color="B9C4D4" w:sz="1"/>
              <w:left w:val="single" w:color="B9C4D4" w:sz="1"/>
              <w:bottom w:val="single" w:color="B9C4D4" w:sz="1"/>
              <w:right w:val="single" w:color="B9C4D4" w:sz="1"/>
            </w:tcBorders>
            <w:shd w:fill="EBF3FA" w:val="clear"/>
            <w:tcMar>
              <w:top w:type="dxa" w:w="60"/>
              <w:left w:type="dxa" w:w="120"/>
              <w:bottom w:type="dxa" w:w="60"/>
              <w:right w:type="dxa" w:w="120"/>
            </w:tcMar>
            <w:vAlign w:val="center"/>
          </w:tcPr>
          <w:p>
            <w:r>
              <w:rPr>
                <w:b/>
                <w:bCs/>
                <w:color w:val="1E1B4B"/>
                <w:sz w:val="19"/>
                <w:szCs w:val="19"/>
              </w:rPr>
              <w:t xml:space="preserve">Réserve</w:t>
            </w:r>
          </w:p>
        </w:tc>
        <w:tc>
          <w:tcPr>
            <w:tcW w:type="dxa" w:w="6760"/>
            <w:tcBorders>
              <w:top w:val="single" w:color="B9C4D4" w:sz="1"/>
              <w:left w:val="single" w:color="B9C4D4" w:sz="1"/>
              <w:bottom w:val="single" w:color="B9C4D4" w:sz="1"/>
              <w:right w:val="single" w:color="B9C4D4" w:sz="1"/>
            </w:tcBorders>
            <w:tcMar>
              <w:top w:type="dxa" w:w="60"/>
              <w:left w:type="dxa" w:w="120"/>
              <w:bottom w:type="dxa" w:w="60"/>
              <w:right w:type="dxa" w:w="120"/>
            </w:tcMar>
            <w:vAlign w:val="center"/>
          </w:tcPr>
          <w:p>
            <w:r>
              <w:rPr>
                <w:b w:val="false"/>
                <w:bCs w:val="false"/>
                <w:color w:val="1A1A1A"/>
                <w:sz w:val="19"/>
                <w:szCs w:val="19"/>
              </w:rPr>
              <w:t xml:space="preserve">Confirmer le modèle retenu après exécution du benchmark sur la machine de démo</w:t>
            </w:r>
          </w:p>
        </w:tc>
      </w:tr>
    </w:tbl>
    <w:p>
      <w:pPr>
        <w:pStyle w:val="Heading1"/>
        <w:spacing w:after="140" w:before="280"/>
      </w:pPr>
      <w:r>
        <w:rPr>
          <w:rFonts w:ascii="Arial" w:cs="Arial" w:eastAsia="Arial" w:hAnsi="Arial"/>
          <w:b/>
          <w:bCs/>
          <w:color w:val="1E1B4B"/>
        </w:rPr>
        <w:t xml:space="preserve">9. Grille d'auto-évaluation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tblHeader/>
        </w:trPr>
        <w:tc>
          <w:tcPr>
            <w:tcW w:type="dxa" w:w="6360"/>
            <w:tcBorders>
              <w:top w:val="single" w:color="B9C4D4" w:sz="1"/>
              <w:left w:val="single" w:color="B9C4D4" w:sz="1"/>
              <w:bottom w:val="single" w:color="B9C4D4" w:sz="1"/>
              <w:right w:val="single" w:color="B9C4D4" w:sz="1"/>
            </w:tcBorders>
            <w:shd w:fill="1E1B4B" w:val="clear"/>
            <w:tcMar>
              <w:top w:type="dxa" w:w="60"/>
              <w:left w:type="dxa" w:w="120"/>
              <w:bottom w:type="dxa" w:w="60"/>
              <w:right w:type="dxa" w:w="120"/>
            </w:tcMar>
            <w:vAlign w:val="center"/>
          </w:tcPr>
          <w:p>
            <w:r>
              <w:rPr>
                <w:b/>
                <w:bCs/>
                <w:color w:val="FFFFFF"/>
                <w:sz w:val="19"/>
                <w:szCs w:val="19"/>
              </w:rPr>
              <w:t xml:space="preserve">Critère qualité de l'ADR</w:t>
            </w:r>
          </w:p>
        </w:tc>
        <w:tc>
          <w:tcPr>
            <w:tcW w:type="dxa" w:w="3000"/>
            <w:tcBorders>
              <w:top w:val="single" w:color="B9C4D4" w:sz="1"/>
              <w:left w:val="single" w:color="B9C4D4" w:sz="1"/>
              <w:bottom w:val="single" w:color="B9C4D4" w:sz="1"/>
              <w:right w:val="single" w:color="B9C4D4" w:sz="1"/>
            </w:tcBorders>
            <w:shd w:fill="1E1B4B" w:val="clear"/>
            <w:tcMar>
              <w:top w:type="dxa" w:w="60"/>
              <w:left w:type="dxa" w:w="120"/>
              <w:bottom w:type="dxa" w:w="60"/>
              <w:right w:type="dxa" w:w="120"/>
            </w:tcMar>
            <w:vAlign w:val="center"/>
          </w:tcPr>
          <w:p>
            <w:r>
              <w:rPr>
                <w:b/>
                <w:bCs/>
                <w:color w:val="FFFFFF"/>
                <w:sz w:val="19"/>
                <w:szCs w:val="19"/>
              </w:rPr>
              <w:t xml:space="preserve">Auto-évaluation</w:t>
            </w:r>
          </w:p>
        </w:tc>
      </w:tr>
      <w:tr>
        <w:tc>
          <w:tcPr>
            <w:tcW w:type="dxa" w:w="6360"/>
            <w:tcBorders>
              <w:top w:val="single" w:color="B9C4D4" w:sz="1"/>
              <w:left w:val="single" w:color="B9C4D4" w:sz="1"/>
              <w:bottom w:val="single" w:color="B9C4D4" w:sz="1"/>
              <w:right w:val="single" w:color="B9C4D4" w:sz="1"/>
            </w:tcBorders>
            <w:tcMar>
              <w:top w:type="dxa" w:w="60"/>
              <w:left w:type="dxa" w:w="120"/>
              <w:bottom w:type="dxa" w:w="60"/>
              <w:right w:type="dxa" w:w="120"/>
            </w:tcMar>
            <w:vAlign w:val="center"/>
          </w:tcPr>
          <w:p>
            <w:r>
              <w:rPr>
                <w:b w:val="false"/>
                <w:bCs w:val="false"/>
                <w:color w:val="1A1A1A"/>
                <w:sz w:val="19"/>
                <w:szCs w:val="19"/>
              </w:rPr>
              <w:t xml:space="preserve">Le contexte expose un problème concret, daté et mesurable</w:t>
            </w:r>
          </w:p>
        </w:tc>
        <w:tc>
          <w:tcPr>
            <w:tcW w:type="dxa" w:w="3000"/>
            <w:tcBorders>
              <w:top w:val="single" w:color="B9C4D4" w:sz="1"/>
              <w:left w:val="single" w:color="B9C4D4" w:sz="1"/>
              <w:bottom w:val="single" w:color="B9C4D4" w:sz="1"/>
              <w:right w:val="single" w:color="B9C4D4" w:sz="1"/>
            </w:tcBorders>
            <w:tcMar>
              <w:top w:type="dxa" w:w="60"/>
              <w:left w:type="dxa" w:w="120"/>
              <w:bottom w:type="dxa" w:w="60"/>
              <w:right w:type="dxa" w:w="120"/>
            </w:tcMar>
            <w:vAlign w:val="center"/>
          </w:tcPr>
          <w:p>
            <w:r>
              <w:rPr>
                <w:b w:val="false"/>
                <w:bCs w:val="false"/>
                <w:color w:val="1A1A1A"/>
                <w:sz w:val="19"/>
                <w:szCs w:val="19"/>
              </w:rPr>
              <w:t xml:space="preserve">Oui / Partiel / Non</w:t>
            </w:r>
          </w:p>
        </w:tc>
      </w:tr>
      <w:tr>
        <w:tc>
          <w:tcPr>
            <w:tcW w:type="dxa" w:w="6360"/>
            <w:tcBorders>
              <w:top w:val="single" w:color="B9C4D4" w:sz="1"/>
              <w:left w:val="single" w:color="B9C4D4" w:sz="1"/>
              <w:bottom w:val="single" w:color="B9C4D4" w:sz="1"/>
              <w:right w:val="single" w:color="B9C4D4" w:sz="1"/>
            </w:tcBorders>
            <w:tcMar>
              <w:top w:type="dxa" w:w="60"/>
              <w:left w:type="dxa" w:w="120"/>
              <w:bottom w:type="dxa" w:w="60"/>
              <w:right w:type="dxa" w:w="120"/>
            </w:tcMar>
            <w:vAlign w:val="center"/>
          </w:tcPr>
          <w:p>
            <w:r>
              <w:rPr>
                <w:b w:val="false"/>
                <w:bCs w:val="false"/>
                <w:color w:val="1A1A1A"/>
                <w:sz w:val="19"/>
                <w:szCs w:val="19"/>
              </w:rPr>
              <w:t xml:space="preserve">La décision est formulée clairement (un modèle retenu, un repli)</w:t>
            </w:r>
          </w:p>
        </w:tc>
        <w:tc>
          <w:tcPr>
            <w:tcW w:type="dxa" w:w="3000"/>
            <w:tcBorders>
              <w:top w:val="single" w:color="B9C4D4" w:sz="1"/>
              <w:left w:val="single" w:color="B9C4D4" w:sz="1"/>
              <w:bottom w:val="single" w:color="B9C4D4" w:sz="1"/>
              <w:right w:val="single" w:color="B9C4D4" w:sz="1"/>
            </w:tcBorders>
            <w:tcMar>
              <w:top w:type="dxa" w:w="60"/>
              <w:left w:type="dxa" w:w="120"/>
              <w:bottom w:type="dxa" w:w="60"/>
              <w:right w:type="dxa" w:w="120"/>
            </w:tcMar>
            <w:vAlign w:val="center"/>
          </w:tcPr>
          <w:p>
            <w:r>
              <w:rPr>
                <w:b w:val="false"/>
                <w:bCs w:val="false"/>
                <w:color w:val="1A1A1A"/>
                <w:sz w:val="19"/>
                <w:szCs w:val="19"/>
              </w:rPr>
              <w:t xml:space="preserve">Oui / Partiel / Non</w:t>
            </w:r>
          </w:p>
        </w:tc>
      </w:tr>
      <w:tr>
        <w:tc>
          <w:tcPr>
            <w:tcW w:type="dxa" w:w="6360"/>
            <w:tcBorders>
              <w:top w:val="single" w:color="B9C4D4" w:sz="1"/>
              <w:left w:val="single" w:color="B9C4D4" w:sz="1"/>
              <w:bottom w:val="single" w:color="B9C4D4" w:sz="1"/>
              <w:right w:val="single" w:color="B9C4D4" w:sz="1"/>
            </w:tcBorders>
            <w:tcMar>
              <w:top w:type="dxa" w:w="60"/>
              <w:left w:type="dxa" w:w="120"/>
              <w:bottom w:type="dxa" w:w="60"/>
              <w:right w:type="dxa" w:w="120"/>
            </w:tcMar>
            <w:vAlign w:val="center"/>
          </w:tcPr>
          <w:p>
            <w:r>
              <w:rPr>
                <w:b w:val="false"/>
                <w:bCs w:val="false"/>
                <w:color w:val="1A1A1A"/>
                <w:sz w:val="19"/>
                <w:szCs w:val="19"/>
              </w:rPr>
              <w:t xml:space="preserve">Au moins 3 options sont comparées avec un verdict argumenté</w:t>
            </w:r>
          </w:p>
        </w:tc>
        <w:tc>
          <w:tcPr>
            <w:tcW w:type="dxa" w:w="3000"/>
            <w:tcBorders>
              <w:top w:val="single" w:color="B9C4D4" w:sz="1"/>
              <w:left w:val="single" w:color="B9C4D4" w:sz="1"/>
              <w:bottom w:val="single" w:color="B9C4D4" w:sz="1"/>
              <w:right w:val="single" w:color="B9C4D4" w:sz="1"/>
            </w:tcBorders>
            <w:tcMar>
              <w:top w:type="dxa" w:w="60"/>
              <w:left w:type="dxa" w:w="120"/>
              <w:bottom w:type="dxa" w:w="60"/>
              <w:right w:type="dxa" w:w="120"/>
            </w:tcMar>
            <w:vAlign w:val="center"/>
          </w:tcPr>
          <w:p>
            <w:r>
              <w:rPr>
                <w:b w:val="false"/>
                <w:bCs w:val="false"/>
                <w:color w:val="1A1A1A"/>
                <w:sz w:val="19"/>
                <w:szCs w:val="19"/>
              </w:rPr>
              <w:t xml:space="preserve">Oui / Partiel / Non</w:t>
            </w:r>
          </w:p>
        </w:tc>
      </w:tr>
      <w:tr>
        <w:tc>
          <w:tcPr>
            <w:tcW w:type="dxa" w:w="6360"/>
            <w:tcBorders>
              <w:top w:val="single" w:color="B9C4D4" w:sz="1"/>
              <w:left w:val="single" w:color="B9C4D4" w:sz="1"/>
              <w:bottom w:val="single" w:color="B9C4D4" w:sz="1"/>
              <w:right w:val="single" w:color="B9C4D4" w:sz="1"/>
            </w:tcBorders>
            <w:tcMar>
              <w:top w:type="dxa" w:w="60"/>
              <w:left w:type="dxa" w:w="120"/>
              <w:bottom w:type="dxa" w:w="60"/>
              <w:right w:type="dxa" w:w="120"/>
            </w:tcMar>
            <w:vAlign w:val="center"/>
          </w:tcPr>
          <w:p>
            <w:r>
              <w:rPr>
                <w:b w:val="false"/>
                <w:bCs w:val="false"/>
                <w:color w:val="1A1A1A"/>
                <w:sz w:val="19"/>
                <w:szCs w:val="19"/>
              </w:rPr>
              <w:t xml:space="preserve">Les trade-offs sont explicites (vitesse vs qualité, local vs cloud)</w:t>
            </w:r>
          </w:p>
        </w:tc>
        <w:tc>
          <w:tcPr>
            <w:tcW w:type="dxa" w:w="3000"/>
            <w:tcBorders>
              <w:top w:val="single" w:color="B9C4D4" w:sz="1"/>
              <w:left w:val="single" w:color="B9C4D4" w:sz="1"/>
              <w:bottom w:val="single" w:color="B9C4D4" w:sz="1"/>
              <w:right w:val="single" w:color="B9C4D4" w:sz="1"/>
            </w:tcBorders>
            <w:tcMar>
              <w:top w:type="dxa" w:w="60"/>
              <w:left w:type="dxa" w:w="120"/>
              <w:bottom w:type="dxa" w:w="60"/>
              <w:right w:type="dxa" w:w="120"/>
            </w:tcMar>
            <w:vAlign w:val="center"/>
          </w:tcPr>
          <w:p>
            <w:r>
              <w:rPr>
                <w:b w:val="false"/>
                <w:bCs w:val="false"/>
                <w:color w:val="1A1A1A"/>
                <w:sz w:val="19"/>
                <w:szCs w:val="19"/>
              </w:rPr>
              <w:t xml:space="preserve">Oui / Partiel / Non</w:t>
            </w:r>
          </w:p>
        </w:tc>
      </w:tr>
      <w:tr>
        <w:tc>
          <w:tcPr>
            <w:tcW w:type="dxa" w:w="6360"/>
            <w:tcBorders>
              <w:top w:val="single" w:color="B9C4D4" w:sz="1"/>
              <w:left w:val="single" w:color="B9C4D4" w:sz="1"/>
              <w:bottom w:val="single" w:color="B9C4D4" w:sz="1"/>
              <w:right w:val="single" w:color="B9C4D4" w:sz="1"/>
            </w:tcBorders>
            <w:tcMar>
              <w:top w:type="dxa" w:w="60"/>
              <w:left w:type="dxa" w:w="120"/>
              <w:bottom w:type="dxa" w:w="60"/>
              <w:right w:type="dxa" w:w="120"/>
            </w:tcMar>
            <w:vAlign w:val="center"/>
          </w:tcPr>
          <w:p>
            <w:r>
              <w:rPr>
                <w:b w:val="false"/>
                <w:bCs w:val="false"/>
                <w:color w:val="1A1A1A"/>
                <w:sz w:val="19"/>
                <w:szCs w:val="19"/>
              </w:rPr>
              <w:t xml:space="preserve">Des mitigations concrètes accompagnent la décision</w:t>
            </w:r>
          </w:p>
        </w:tc>
        <w:tc>
          <w:tcPr>
            <w:tcW w:type="dxa" w:w="3000"/>
            <w:tcBorders>
              <w:top w:val="single" w:color="B9C4D4" w:sz="1"/>
              <w:left w:val="single" w:color="B9C4D4" w:sz="1"/>
              <w:bottom w:val="single" w:color="B9C4D4" w:sz="1"/>
              <w:right w:val="single" w:color="B9C4D4" w:sz="1"/>
            </w:tcBorders>
            <w:tcMar>
              <w:top w:type="dxa" w:w="60"/>
              <w:left w:type="dxa" w:w="120"/>
              <w:bottom w:type="dxa" w:w="60"/>
              <w:right w:type="dxa" w:w="120"/>
            </w:tcMar>
            <w:vAlign w:val="center"/>
          </w:tcPr>
          <w:p>
            <w:r>
              <w:rPr>
                <w:b w:val="false"/>
                <w:bCs w:val="false"/>
                <w:color w:val="1A1A1A"/>
                <w:sz w:val="19"/>
                <w:szCs w:val="19"/>
              </w:rPr>
              <w:t xml:space="preserve">Oui / Partiel / Non</w:t>
            </w:r>
          </w:p>
        </w:tc>
      </w:tr>
      <w:tr>
        <w:tc>
          <w:tcPr>
            <w:tcW w:type="dxa" w:w="6360"/>
            <w:tcBorders>
              <w:top w:val="single" w:color="B9C4D4" w:sz="1"/>
              <w:left w:val="single" w:color="B9C4D4" w:sz="1"/>
              <w:bottom w:val="single" w:color="B9C4D4" w:sz="1"/>
              <w:right w:val="single" w:color="B9C4D4" w:sz="1"/>
            </w:tcBorders>
            <w:tcMar>
              <w:top w:type="dxa" w:w="60"/>
              <w:left w:type="dxa" w:w="120"/>
              <w:bottom w:type="dxa" w:w="60"/>
              <w:right w:type="dxa" w:w="120"/>
            </w:tcMar>
            <w:vAlign w:val="center"/>
          </w:tcPr>
          <w:p>
            <w:r>
              <w:rPr>
                <w:b w:val="false"/>
                <w:bCs w:val="false"/>
                <w:color w:val="1A1A1A"/>
                <w:sz w:val="19"/>
                <w:szCs w:val="19"/>
              </w:rPr>
              <w:t xml:space="preserve">Des KPIs avec seuils d'alerte permettent de suivre la décision</w:t>
            </w:r>
          </w:p>
        </w:tc>
        <w:tc>
          <w:tcPr>
            <w:tcW w:type="dxa" w:w="3000"/>
            <w:tcBorders>
              <w:top w:val="single" w:color="B9C4D4" w:sz="1"/>
              <w:left w:val="single" w:color="B9C4D4" w:sz="1"/>
              <w:bottom w:val="single" w:color="B9C4D4" w:sz="1"/>
              <w:right w:val="single" w:color="B9C4D4" w:sz="1"/>
            </w:tcBorders>
            <w:tcMar>
              <w:top w:type="dxa" w:w="60"/>
              <w:left w:type="dxa" w:w="120"/>
              <w:bottom w:type="dxa" w:w="60"/>
              <w:right w:type="dxa" w:w="120"/>
            </w:tcMar>
            <w:vAlign w:val="center"/>
          </w:tcPr>
          <w:p>
            <w:r>
              <w:rPr>
                <w:b w:val="false"/>
                <w:bCs w:val="false"/>
                <w:color w:val="1A1A1A"/>
                <w:sz w:val="19"/>
                <w:szCs w:val="19"/>
              </w:rPr>
              <w:t xml:space="preserve">Oui / Partiel / Non</w:t>
            </w:r>
          </w:p>
        </w:tc>
      </w:tr>
      <w:tr>
        <w:tc>
          <w:tcPr>
            <w:tcW w:type="dxa" w:w="6360"/>
            <w:tcBorders>
              <w:top w:val="single" w:color="B9C4D4" w:sz="1"/>
              <w:left w:val="single" w:color="B9C4D4" w:sz="1"/>
              <w:bottom w:val="single" w:color="B9C4D4" w:sz="1"/>
              <w:right w:val="single" w:color="B9C4D4" w:sz="1"/>
            </w:tcBorders>
            <w:tcMar>
              <w:top w:type="dxa" w:w="60"/>
              <w:left w:type="dxa" w:w="120"/>
              <w:bottom w:type="dxa" w:w="60"/>
              <w:right w:type="dxa" w:w="120"/>
            </w:tcMar>
            <w:vAlign w:val="center"/>
          </w:tcPr>
          <w:p>
            <w:r>
              <w:rPr>
                <w:b w:val="false"/>
                <w:bCs w:val="false"/>
                <w:color w:val="1A1A1A"/>
                <w:sz w:val="19"/>
                <w:szCs w:val="19"/>
              </w:rPr>
              <w:t xml:space="preserve">L'impact sur le backlog (US-03, sprints) est tracé</w:t>
            </w:r>
          </w:p>
        </w:tc>
        <w:tc>
          <w:tcPr>
            <w:tcW w:type="dxa" w:w="3000"/>
            <w:tcBorders>
              <w:top w:val="single" w:color="B9C4D4" w:sz="1"/>
              <w:left w:val="single" w:color="B9C4D4" w:sz="1"/>
              <w:bottom w:val="single" w:color="B9C4D4" w:sz="1"/>
              <w:right w:val="single" w:color="B9C4D4" w:sz="1"/>
            </w:tcBorders>
            <w:tcMar>
              <w:top w:type="dxa" w:w="60"/>
              <w:left w:type="dxa" w:w="120"/>
              <w:bottom w:type="dxa" w:w="60"/>
              <w:right w:type="dxa" w:w="120"/>
            </w:tcMar>
            <w:vAlign w:val="center"/>
          </w:tcPr>
          <w:p>
            <w:r>
              <w:rPr>
                <w:b w:val="false"/>
                <w:bCs w:val="false"/>
                <w:color w:val="1A1A1A"/>
                <w:sz w:val="19"/>
                <w:szCs w:val="19"/>
              </w:rPr>
              <w:t xml:space="preserve">Oui / Partiel / Non</w:t>
            </w:r>
          </w:p>
        </w:tc>
      </w:tr>
      <w:tr>
        <w:tc>
          <w:tcPr>
            <w:tcW w:type="dxa" w:w="6360"/>
            <w:tcBorders>
              <w:top w:val="single" w:color="B9C4D4" w:sz="1"/>
              <w:left w:val="single" w:color="B9C4D4" w:sz="1"/>
              <w:bottom w:val="single" w:color="B9C4D4" w:sz="1"/>
              <w:right w:val="single" w:color="B9C4D4" w:sz="1"/>
            </w:tcBorders>
            <w:tcMar>
              <w:top w:type="dxa" w:w="60"/>
              <w:left w:type="dxa" w:w="120"/>
              <w:bottom w:type="dxa" w:w="60"/>
              <w:right w:type="dxa" w:w="120"/>
            </w:tcMar>
            <w:vAlign w:val="center"/>
          </w:tcPr>
          <w:p>
            <w:r>
              <w:rPr>
                <w:b w:val="false"/>
                <w:bCs w:val="false"/>
                <w:color w:val="1A1A1A"/>
                <w:sz w:val="19"/>
                <w:szCs w:val="19"/>
              </w:rPr>
              <w:t xml:space="preserve">La décision est validée par le PO (trace écrite : commit / mail)</w:t>
            </w:r>
          </w:p>
        </w:tc>
        <w:tc>
          <w:tcPr>
            <w:tcW w:type="dxa" w:w="3000"/>
            <w:tcBorders>
              <w:top w:val="single" w:color="B9C4D4" w:sz="1"/>
              <w:left w:val="single" w:color="B9C4D4" w:sz="1"/>
              <w:bottom w:val="single" w:color="B9C4D4" w:sz="1"/>
              <w:right w:val="single" w:color="B9C4D4" w:sz="1"/>
            </w:tcBorders>
            <w:tcMar>
              <w:top w:type="dxa" w:w="60"/>
              <w:left w:type="dxa" w:w="120"/>
              <w:bottom w:type="dxa" w:w="60"/>
              <w:right w:type="dxa" w:w="120"/>
            </w:tcMar>
            <w:vAlign w:val="center"/>
          </w:tcPr>
          <w:p>
            <w:r>
              <w:rPr>
                <w:b w:val="false"/>
                <w:bCs w:val="false"/>
                <w:color w:val="1A1A1A"/>
                <w:sz w:val="19"/>
                <w:szCs w:val="19"/>
              </w:rPr>
              <w:t xml:space="preserve">Oui / Partiel / Non</w:t>
            </w:r>
          </w:p>
        </w:tc>
      </w:tr>
    </w:tbl>
    <w:p>
      <w:pPr>
        <w:pStyle w:val="Heading1"/>
        <w:spacing w:after="140" w:before="280"/>
      </w:pPr>
      <w:r>
        <w:rPr>
          <w:rFonts w:ascii="Arial" w:cs="Arial" w:eastAsia="Arial" w:hAnsi="Arial"/>
          <w:b/>
          <w:bCs/>
          <w:color w:val="1E1B4B"/>
        </w:rPr>
        <w:t xml:space="preserve">10. Références</w:t>
      </w:r>
    </w:p>
    <w:p>
      <w:pPr>
        <w:pStyle w:val="ListParagraph"/>
        <w:numPr>
          <w:ilvl w:val="0"/>
          <w:numId w:val="2"/>
        </w:numPr>
        <w:spacing w:after="120" w:before="0" w:line="276"/>
      </w:pPr>
      <w:r>
        <w:rPr>
          <w:color w:val="1A1A1A"/>
          <w:sz w:val="21"/>
          <w:szCs w:val="21"/>
        </w:rPr>
        <w:t xml:space="preserve">Michael Nygard — Documenting Architecture Decisions (format ADR).</w:t>
      </w:r>
    </w:p>
    <w:p>
      <w:pPr>
        <w:pStyle w:val="ListParagraph"/>
        <w:numPr>
          <w:ilvl w:val="0"/>
          <w:numId w:val="2"/>
        </w:numPr>
        <w:spacing w:after="120" w:before="0" w:line="276"/>
      </w:pPr>
      <w:r>
        <w:rPr>
          <w:color w:val="1A1A1A"/>
          <w:sz w:val="21"/>
          <w:szCs w:val="21"/>
        </w:rPr>
        <w:t xml:space="preserve">Documentation API Ollama — métriques total_duration, eval_count, eval_duration (tokens/s).</w:t>
      </w:r>
    </w:p>
    <w:p>
      <w:pPr>
        <w:pStyle w:val="ListParagraph"/>
        <w:numPr>
          <w:ilvl w:val="0"/>
          <w:numId w:val="2"/>
        </w:numPr>
        <w:spacing w:after="120" w:before="0" w:line="276"/>
      </w:pPr>
      <w:r>
        <w:rPr>
          <w:color w:val="1A1A1A"/>
          <w:sz w:val="21"/>
          <w:szCs w:val="21"/>
        </w:rPr>
        <w:t xml:space="preserve">Fiches modèles : Microsoft Phi-3 / Phi-3.5 (anglais-first, 3,8 B) ; Alibaba Qwen2.5 (multilingue, Apache 2.0) ; Meta Llama 3.1 / 3.2.</w:t>
      </w:r>
    </w:p>
    <w:p>
      <w:pPr>
        <w:pStyle w:val="ListParagraph"/>
        <w:numPr>
          <w:ilvl w:val="0"/>
          <w:numId w:val="2"/>
        </w:numPr>
        <w:spacing w:after="120" w:before="0" w:line="276"/>
      </w:pPr>
      <w:r>
        <w:rPr>
          <w:color w:val="1A1A1A"/>
          <w:sz w:val="21"/>
          <w:szCs w:val="21"/>
        </w:rPr>
        <w:t xml:space="preserve">Cours Agile/Scrum (Mohamed EL AFRIT) ; Scrum Guide 2020 (FR) ; site APOCAL'IPSSI.</w:t>
      </w:r>
    </w:p>
    <w:p>
      <w:pPr>
        <w:pStyle w:val="ListParagraph"/>
        <w:numPr>
          <w:ilvl w:val="0"/>
          <w:numId w:val="2"/>
        </w:numPr>
        <w:spacing w:after="120" w:before="0" w:line="276"/>
      </w:pPr>
      <w:r>
        <w:rPr>
          <w:color w:val="1A1A1A"/>
          <w:sz w:val="21"/>
          <w:szCs w:val="21"/>
        </w:rPr>
        <w:t xml:space="preserve">Artefacts équipe : equipe-03-benchmark-llm.xlsx, benchmark_llm.py, equipe-03-product-backlog-v1.1.xlsx.</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75569"/>
        <w:sz w:val="15"/>
        <w:szCs w:val="15"/>
      </w:rPr>
      <w:t xml:space="preserve">Modèle APOCAL'IPSSI — Mohamed Amine EL AFRIT · CC BY-NC-SA 4.0   |   page </w:t>
    </w:r>
    <w:r>
      <w:rPr>
        <w:color w:val="47556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color w:val="475569"/>
        <w:sz w:val="16"/>
        <w:szCs w:val="16"/>
      </w:rPr>
      <w:t xml:space="preserve">ADR-0003 · EduTutor IA · Équipe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E1B4B"/>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97AB8"/>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2026-06-30T11:48:14.691Z</dcterms:created>
  <dcterms:modified xsi:type="dcterms:W3CDTF">2026-06-30T11:48:14.691Z</dcterms:modified>
</cp:coreProperties>
</file>

<file path=docProps/custom.xml><?xml version="1.0" encoding="utf-8"?>
<Properties xmlns="http://schemas.openxmlformats.org/officeDocument/2006/custom-properties" xmlns:vt="http://schemas.openxmlformats.org/officeDocument/2006/docPropsVTypes"/>
</file>