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general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31051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puntos validadores y verificadores de progreso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Subredes lanzadas con prueba de contrato inteligente o interacción en la blockchain(ejemplo hola mundo)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conectada con wallet core (identificar la cuenta o dirección conectada)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638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contrato de compra y recompensa de las pólizas lanzado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*la compra se hace con la moneda de la subred y la recompensa se hará frente al valor de la póliza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(- no es lógica que funciona en la realidad, solo es para probar compra y recompensa)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91250" cy="1571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interacciones del contrato de pólizas con la interfaz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priorizando el funcionamiento principal que son las pólizas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transacciones de compra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de recompensa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fallo si el tiempo expiro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1295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lanzamiento del contrato NFT para guardar la información de acuerdo a lo acordado con la interfaz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buscando un modelo de NFT dinámico o una entrega funcional para la interfaz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*imagen de acuerdo al tipo de animal de forma genérica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10375" cy="1447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interacciones con la interfaz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-envío de la información y muestra en la interfaz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* toca mirar si en interfaz de metamask se puede visualizar bien el token o ver como pasarlo a IPFS la información para la consulta.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24100" cy="13525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lanzamiento de contrato ERC20, token para entregar al cobro de las pólizas y mas adelante en el contrato de “beneficios/futuros”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mint de los tokens pueda ser hecho por los contratos que gestionan entrega de recompensas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*falta definir NOMBRE, SIMBOLO, DECIMALES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81150" cy="1066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lanzamiento del contrato de beneficios futuros debe tener la lógica para interactuar con el token ERC20 para entregar las recompensas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10275" cy="26955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integracion de contratos ERC20 y “poliza con beneficios” con la interfaz buscando que la interaccion y entrega de beneficios se realice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*tener presente que para mostrar funcionalidad hay que tener tiempos bajos ya sea de hora o min cuando en el mundo real sean meses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391525" cy="1638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integracion del erc20 con el contrato de poliza para que entregue las compezacionenes en tokens del proyecto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NOTA LO SIGUIENTE ES POSIBLE HACERLO ANTES PERO DEBEMOS TENERLO CLARO PRECOMPILADOS Y TELEPORTERS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62175" cy="1866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TELEPORTER PARA COMUNICACION DE INFORMACION DE MASCOTAS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*falta identificación correcta de los IDs para los contratos e integración correcta con la funcionalidades que buscamos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09850" cy="3048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segundo teleporter con c-chain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81350" cy="2200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pasar token nativo de la red c-chain a nuestra subnet (convirtiéndolo en un factor x a token ERC 20 del proyecto)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*retorno del valor como seria? en que factor o otro token ERC20 en la red C-chain 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esto estaría comunicando la existencia de la mascota de una red a otra 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RFID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19250" cy="1409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saber funcionamiento y tener una forma mas clara para la integracion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71850" cy="1171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funcionalidad con la interfaz o con la blockchain dependiendo de la funcionalidad correcta del RFID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COMPLETO 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039350" cy="40481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