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360" w:lineRule="auto"/>
        <w:jc w:val="both"/>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360" w:lineRule="auto"/>
        <w:jc w:val="both"/>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360" w:lineRule="auto"/>
        <w:jc w:val="both"/>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360" w:lineRule="auto"/>
        <w:jc w:val="both"/>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36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Duoc UC</w:t>
            </w:r>
          </w:p>
        </w:tc>
      </w:tr>
      <w:tr>
        <w:trPr>
          <w:cantSplit w:val="0"/>
          <w:tblHeader w:val="0"/>
        </w:trPr>
        <w:tc>
          <w:tcPr>
            <w:vAlign w:val="top"/>
          </w:tcPr>
          <w:p w:rsidR="00000000" w:rsidDel="00000000" w:rsidP="00000000" w:rsidRDefault="00000000" w:rsidRPr="00000000" w14:paraId="00000009">
            <w:pPr>
              <w:spacing w:after="0" w:line="36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Rutafit</w:t>
            </w:r>
          </w:p>
        </w:tc>
      </w:tr>
    </w:tbl>
    <w:p w:rsidR="00000000" w:rsidDel="00000000" w:rsidP="00000000" w:rsidRDefault="00000000" w:rsidRPr="00000000" w14:paraId="0000000B">
      <w:pPr>
        <w:spacing w:after="0" w:line="360" w:lineRule="auto"/>
        <w:jc w:val="both"/>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360" w:lineRule="auto"/>
        <w:jc w:val="both"/>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360" w:lineRule="auto"/>
        <w:jc w:val="both"/>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36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Discord</w:t>
            </w:r>
          </w:p>
        </w:tc>
      </w:tr>
      <w:tr>
        <w:trPr>
          <w:cantSplit w:val="0"/>
          <w:tblHeader w:val="0"/>
        </w:trPr>
        <w:tc>
          <w:tcPr>
            <w:vAlign w:val="top"/>
          </w:tcPr>
          <w:p w:rsidR="00000000" w:rsidDel="00000000" w:rsidP="00000000" w:rsidRDefault="00000000" w:rsidRPr="00000000" w14:paraId="00000010">
            <w:pPr>
              <w:spacing w:after="0" w:line="36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20/10/2025</w:t>
            </w:r>
          </w:p>
        </w:tc>
      </w:tr>
      <w:tr>
        <w:trPr>
          <w:cantSplit w:val="0"/>
          <w:tblHeader w:val="0"/>
        </w:trPr>
        <w:tc>
          <w:tcPr>
            <w:vAlign w:val="top"/>
          </w:tcPr>
          <w:p w:rsidR="00000000" w:rsidDel="00000000" w:rsidP="00000000" w:rsidRDefault="00000000" w:rsidRPr="00000000" w14:paraId="00000012">
            <w:pPr>
              <w:spacing w:after="0" w:line="36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Segundo</w:t>
            </w:r>
          </w:p>
        </w:tc>
      </w:tr>
      <w:tr>
        <w:trPr>
          <w:cantSplit w:val="0"/>
          <w:tblHeader w:val="0"/>
        </w:trPr>
        <w:tc>
          <w:tcPr>
            <w:vAlign w:val="top"/>
          </w:tcPr>
          <w:p w:rsidR="00000000" w:rsidDel="00000000" w:rsidP="00000000" w:rsidRDefault="00000000" w:rsidRPr="00000000" w14:paraId="00000014">
            <w:pPr>
              <w:spacing w:after="0" w:line="36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r>
        <w:trPr>
          <w:cantSplit w:val="0"/>
          <w:tblHeader w:val="0"/>
        </w:trPr>
        <w:tc>
          <w:tcPr>
            <w:vAlign w:val="top"/>
          </w:tcPr>
          <w:p w:rsidR="00000000" w:rsidDel="00000000" w:rsidP="00000000" w:rsidRDefault="00000000" w:rsidRPr="00000000" w14:paraId="00000018">
            <w:pPr>
              <w:spacing w:after="0" w:line="36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bl>
    <w:p w:rsidR="00000000" w:rsidDel="00000000" w:rsidP="00000000" w:rsidRDefault="00000000" w:rsidRPr="00000000" w14:paraId="0000001C">
      <w:pPr>
        <w:spacing w:after="0" w:line="360" w:lineRule="auto"/>
        <w:jc w:val="both"/>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360" w:lineRule="auto"/>
        <w:jc w:val="both"/>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360" w:lineRule="auto"/>
        <w:jc w:val="both"/>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360" w:lineRule="auto"/>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360" w:lineRule="auto"/>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spacing w:after="0" w:line="360" w:lineRule="auto"/>
        <w:jc w:val="both"/>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hanging="708"/>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360" w:lineRule="auto"/>
        <w:jc w:val="both"/>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hanging="708"/>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logró implementar con éxito las funcionalidades principales de eventos, incluyendo listar, crear, participar y cancelar.</w:t>
              <w:br w:type="textWrapping"/>
            </w:r>
          </w:p>
          <w:p w:rsidR="00000000" w:rsidDel="00000000" w:rsidP="00000000" w:rsidRDefault="00000000" w:rsidRPr="00000000" w14:paraId="0000002D">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pantallas de “Eventos disponibles” y “Mis eventos” mostraron la información completa (nombre, deporte, fecha, lugar, cupos y estado) correctamente.</w:t>
              <w:br w:type="textWrapping"/>
            </w:r>
          </w:p>
          <w:p w:rsidR="00000000" w:rsidDel="00000000" w:rsidP="00000000" w:rsidRDefault="00000000" w:rsidRPr="00000000" w14:paraId="0000002E">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mejoró la comunicación entre frontend y backend, asegurando el filtrado por estado “programado” y la actualización dinámica al refrescar la lista</w:t>
            </w:r>
            <w:r w:rsidDel="00000000" w:rsidR="00000000" w:rsidRPr="00000000">
              <w:rPr>
                <w:rFonts w:ascii="Arial" w:cs="Arial" w:eastAsia="Arial" w:hAnsi="Arial"/>
                <w:color w:val="ff0000"/>
                <w:sz w:val="24"/>
                <w:szCs w:val="24"/>
                <w:rtl w:val="0"/>
              </w:rPr>
              <w:t xml:space="preserve">.</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2F">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formulario de creación de eventos validó correctamente los campos obligatorios y límites de capacidad.</w:t>
              <w:br w:type="textWrapping"/>
            </w:r>
          </w:p>
          <w:p w:rsidR="00000000" w:rsidDel="00000000" w:rsidP="00000000" w:rsidRDefault="00000000" w:rsidRPr="00000000" w14:paraId="00000030">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incorporó el manejo de notificaciones push, tanto para informar nuevas publicaciones como cancelaciones de eventos, mejorando la interacción con el usuario.</w:t>
              <w:br w:type="textWrapping"/>
            </w:r>
          </w:p>
          <w:p w:rsidR="00000000" w:rsidDel="00000000" w:rsidP="00000000" w:rsidRDefault="00000000" w:rsidRPr="00000000" w14:paraId="00000031">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mantuvo una buena coordinación y reparto de tareas, cumpliendo con los tiempos estimados y alcanzando el objetivo principal del sprint.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sz w:val="24"/>
                <w:szCs w:val="24"/>
                <w:rtl w:val="0"/>
              </w:rPr>
              <w:t xml:space="preserve">Se logró adelantar parte del desarrollo de la interfaz del mapa, avanzando en su integración con la vista principa</w:t>
            </w:r>
            <w:r w:rsidDel="00000000" w:rsidR="00000000" w:rsidRPr="00000000">
              <w:rPr>
                <w:rFonts w:ascii="Arial" w:cs="Arial" w:eastAsia="Arial" w:hAnsi="Arial"/>
                <w:color w:val="365f91"/>
                <w:sz w:val="24"/>
                <w:szCs w:val="24"/>
                <w:rtl w:val="0"/>
              </w:rPr>
              <w:t xml:space="preserve">l</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numPr>
                <w:ilvl w:val="0"/>
                <w:numId w:val="4"/>
              </w:numPr>
              <w:spacing w:after="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 produjo una confusión en la asignación de tareas, ya que un integrante realizó actividades que no le corresponden, por lo que fue necesario redistribuir el trabajo para corregir la planificación.</w:t>
            </w:r>
          </w:p>
          <w:p w:rsidR="00000000" w:rsidDel="00000000" w:rsidP="00000000" w:rsidRDefault="00000000" w:rsidRPr="00000000" w14:paraId="00000045">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numPr>
                <w:ilvl w:val="0"/>
                <w:numId w:val="4"/>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Hubo un problema al desplegar el backend en Vercel, ya que la ruta del proyecto contenía carpetas con nombres largos y tildes, lo que generó errores por exceso de caracteres en las rutas internas. Esto impidió completar el despliegue correctamente y obligó al equipo a migrar el backend a Render, lo que implicó reconfigurar los endpoints y las variables de entorno, generando una pérdida de tiempo en ajustes y pruebas antes de restablecer la conexión con la app móvil.</w:t>
            </w:r>
          </w:p>
          <w:p w:rsidR="00000000" w:rsidDel="00000000" w:rsidP="00000000" w:rsidRDefault="00000000" w:rsidRPr="00000000" w14:paraId="00000047">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9">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numPr>
                <w:ilvl w:val="0"/>
                <w:numId w:val="2"/>
              </w:numPr>
              <w:spacing w:after="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Aplicar validaciones unificadas y mensajes de error consistentes en toda la app para mejorar la experiencia del usuario.</w:t>
              <w:br w:type="textWrapping"/>
            </w:r>
          </w:p>
          <w:p w:rsidR="00000000" w:rsidDel="00000000" w:rsidP="00000000" w:rsidRDefault="00000000" w:rsidRPr="00000000" w14:paraId="0000004B">
            <w:pPr>
              <w:numPr>
                <w:ilvl w:val="0"/>
                <w:numId w:val="2"/>
              </w:numPr>
              <w:spacing w:after="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Optimizar el manejo de estados y actualizaciones en tiempo real, evitando mostrar eventos cancelados o con información incompleta.</w:t>
            </w:r>
          </w:p>
          <w:p w:rsidR="00000000" w:rsidDel="00000000" w:rsidP="00000000" w:rsidRDefault="00000000" w:rsidRPr="00000000" w14:paraId="0000004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numPr>
                <w:ilvl w:val="0"/>
                <w:numId w:val="2"/>
              </w:numPr>
              <w:spacing w:after="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Continuar documentando los flujos y endpoints con mayor detalle para mantener la trazabilidad del desarrollo.</w:t>
              <w:br w:type="textWrapping"/>
            </w:r>
          </w:p>
          <w:p w:rsidR="00000000" w:rsidDel="00000000" w:rsidP="00000000" w:rsidRDefault="00000000" w:rsidRPr="00000000" w14:paraId="0000004E">
            <w:pPr>
              <w:numPr>
                <w:ilvl w:val="0"/>
                <w:numId w:val="2"/>
              </w:numPr>
              <w:spacing w:after="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Fortalecer las pruebas de integración entre backend y frontend antes de la revisión final del sprint.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hanging="708"/>
        <w:jc w:val="both"/>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spacing w:after="0" w:line="36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4">
      <w:pPr>
        <w:numPr>
          <w:ilvl w:val="0"/>
          <w:numId w:val="3"/>
        </w:numPr>
        <w:spacing w:after="0" w:line="360" w:lineRule="auto"/>
        <w:ind w:left="720" w:hanging="36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5">
      <w:pPr>
        <w:numPr>
          <w:ilvl w:val="0"/>
          <w:numId w:val="3"/>
        </w:numPr>
        <w:spacing w:after="0" w:line="360" w:lineRule="auto"/>
        <w:ind w:left="720" w:hanging="36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YnylS/558xlvmtnWJ+0UXpcsw==">CgMxLjA4AHIhMXRjZDV1ajZlSUthUDZGX0t3UmhHVzdzVDZvWnNmZE53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