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Calibri" w:hAnsi="Calibri" w:eastAsia="Calibri" w:cs="Calibri"/>
          <w:b/>
          <w:color w:val="2E74B5"/>
          <w:sz w:val="20"/>
        </w:rPr>
        <w:t>PRODUCT REQUIREMENTS DOCUMENT</w:t>
      </w:r>
    </w:p>
    <w:p>
      <w:pPr>
        <w:spacing w:after="80"/>
      </w:pPr>
      <w:r>
        <w:t>AXIO7 Industrial Multi-Asset Market Forecasting System</w:t>
      </w:r>
    </w:p>
    <w:p>
      <w:pPr>
        <w:spacing w:after="320"/>
      </w:pPr>
      <w:r>
        <w:t>From martingale baseline to multi-asset, sector-rotation, evidence-first probabilistic forecasts</w:t>
      </w:r>
    </w:p>
    <w:p>
      <w:pPr>
        <w:spacing w:after="40"/>
      </w:pPr>
      <w:r>
        <w:rPr>
          <w:rFonts w:ascii="Calibri" w:hAnsi="Calibri" w:eastAsia="Calibri" w:cs="Calibri"/>
          <w:b/>
          <w:color w:val="0B2545"/>
          <w:sz w:val="21"/>
        </w:rPr>
        <w:t xml:space="preserve">Owner: </w:t>
      </w:r>
      <w:r>
        <w:rPr>
          <w:rFonts w:ascii="Calibri" w:hAnsi="Calibri" w:eastAsia="Calibri" w:cs="Calibri"/>
          <w:color w:val="111111"/>
          <w:sz w:val="21"/>
        </w:rPr>
        <w:t>Guantao (Erwin) He, Founder - AXIO7 / Argus</w:t>
      </w:r>
    </w:p>
    <w:p>
      <w:pPr>
        <w:spacing w:after="40"/>
      </w:pPr>
      <w:r>
        <w:rPr>
          <w:rFonts w:ascii="Calibri" w:hAnsi="Calibri" w:eastAsia="Calibri" w:cs="Calibri"/>
          <w:b/>
          <w:color w:val="0B2545"/>
          <w:sz w:val="21"/>
        </w:rPr>
        <w:t xml:space="preserve">Contributors: </w:t>
      </w:r>
      <w:r>
        <w:rPr>
          <w:rFonts w:ascii="Calibri" w:hAnsi="Calibri" w:eastAsia="Calibri" w:cs="Calibri"/>
          <w:color w:val="111111"/>
          <w:sz w:val="21"/>
        </w:rPr>
        <w:t>Guantao He and Shicheng Zhou</w:t>
      </w:r>
    </w:p>
    <w:p>
      <w:pPr>
        <w:spacing w:after="40"/>
      </w:pPr>
      <w:r>
        <w:rPr>
          <w:rFonts w:ascii="Calibri" w:hAnsi="Calibri" w:eastAsia="Calibri" w:cs="Calibri"/>
          <w:b/>
          <w:color w:val="0B2545"/>
          <w:sz w:val="21"/>
        </w:rPr>
        <w:t xml:space="preserve">System of record: </w:t>
      </w:r>
      <w:r>
        <w:rPr>
          <w:rFonts w:ascii="Calibri" w:hAnsi="Calibri" w:eastAsia="Calibri" w:cs="Calibri"/>
          <w:color w:val="111111"/>
          <w:sz w:val="21"/>
        </w:rPr>
        <w:t>Rust inference service; Python research/training; Next.js presentation</w:t>
      </w:r>
    </w:p>
    <w:p>
      <w:pPr>
        <w:spacing w:after="40"/>
      </w:pPr>
      <w:r>
        <w:t>Version: 2.0 | 1 August 2026 | New York</w:t>
      </w:r>
    </w:p>
    <w:p>
      <w:pPr>
        <w:spacing w:after="40"/>
      </w:pPr>
      <w:r>
        <w:t>Status: Industrial build specification - not evidence of predictive performance</w:t>
      </w:r>
    </w:p>
    <w:p>
      <w:pPr>
        <w:spacing w:before="200" w:after="240"/>
        <w:pBdr>
          <w:bottom w:val="single" w:sz="18" w:space="1" w:color="2E74B5"/>
        </w:pBdr>
      </w:pPr>
    </w:p>
    <w:p>
      <w:pPr>
        <w:spacing w:before="60" w:after="160" w:line="276" w:lineRule="auto"/>
        <w:ind w:left="115" w:right="115"/>
        <w:shd w:fill="E8EEF5"/>
        <w:pBdr>
          <w:top w:val="single" w:sz="4" w:space="6" w:color="E8EEF5"/>
          <w:left w:val="single" w:sz="4" w:space="6" w:color="E8EEF5"/>
          <w:bottom w:val="single" w:sz="4" w:space="6" w:color="E8EEF5"/>
          <w:right w:val="single" w:sz="4" w:space="6" w:color="E8EEF5"/>
        </w:pBdr>
      </w:pPr>
      <w:r>
        <w:rPr>
          <w:rFonts w:ascii="Calibri" w:hAnsi="Calibri" w:eastAsia="Calibri" w:cs="Calibri"/>
          <w:b/>
          <w:color w:val="0B2545"/>
          <w:sz w:val="21"/>
        </w:rPr>
        <w:t xml:space="preserve">PRIMARY DECISION  </w:t>
      </w:r>
      <w:r>
        <w:rPr>
          <w:rFonts w:ascii="Calibri" w:hAnsi="Calibri" w:eastAsia="Calibri" w:cs="Calibri"/>
          <w:color w:val="111111"/>
          <w:sz w:val="21"/>
        </w:rPr>
        <w:t>AXIO7 will not optimize for a visually impressive dashboard or a single backtest win. It will optimize for repeatable out-of-sample forecast skill relative to a martingale/random-walk baseline, net of costs, with calibrated uncertainty and a fail-closed abstention policy.</w:t>
      </w:r>
    </w:p>
    <w:p>
      <w:pPr>
        <w:spacing w:after="120" w:line="300" w:lineRule="auto"/>
      </w:pPr>
      <w:r>
        <w:rPr>
          <w:rFonts w:ascii="Calibri" w:hAnsi="Calibri" w:eastAsia="Calibri" w:cs="Calibri"/>
          <w:i w:val="0"/>
          <w:color w:val="111111"/>
          <w:sz w:val="22"/>
        </w:rPr>
        <w:t>This PRD turns the existing research stack into an auditable production system. It preserves the confirmed HMM plus regime-weighted analogue kernel as the primary chain, while imposing institutional data, validation, calibration, latency, monitoring, and promotion standards.</w:t>
      </w:r>
    </w:p>
    <w:p>
      <w:pPr>
        <w:pStyle w:val="Heading1"/>
        <w:keepNext/>
      </w:pPr>
      <w:r>
        <w:t>Executive Summary</w:t>
      </w:r>
    </w:p>
    <w:p>
      <w:pPr>
        <w:spacing w:after="120" w:line="300" w:lineRule="auto"/>
      </w:pPr>
      <w:r>
        <w:rPr>
          <w:rFonts w:ascii="Calibri" w:hAnsi="Calibri" w:eastAsia="Calibri" w:cs="Calibri"/>
          <w:i w:val="0"/>
          <w:color w:val="111111"/>
          <w:sz w:val="22"/>
        </w:rPr>
        <w:t>Market prices are an extremely strong baseline. In a simplified real-world short-horizon setting, the best naive point forecast for the future price is often the current price. More precisely, discounted prices are martingales under a risk-neutral measure, while real-world prices can still contain small, time-varying, conditional predictability. AXIO7 must therefore predict only the residual structure that survives strict out-of-sample testing after spread, slippage, latency, and selection effects.</w:t>
      </w:r>
    </w:p>
    <w:p>
      <w:pPr>
        <w:keepLines/>
        <w:numPr>
          <w:ilvl w:val="0"/>
          <w:numId w:val="10"/>
        </w:numPr>
        <w:spacing w:after="80" w:line="300" w:lineRule="auto"/>
      </w:pPr>
      <w:r>
        <w:rPr>
          <w:rFonts w:ascii="Calibri" w:hAnsi="Calibri" w:eastAsia="Calibri" w:cs="Calibri"/>
          <w:color w:val="111111"/>
          <w:sz w:val="22"/>
        </w:rPr>
        <w:t>Forecast a conditional distribution, not a magic number: expected return, direction probability, quantiles, interval, volatility expansion, and regime.</w:t>
      </w:r>
    </w:p>
    <w:p>
      <w:pPr>
        <w:keepLines/>
        <w:numPr>
          <w:ilvl w:val="0"/>
          <w:numId w:val="10"/>
        </w:numPr>
        <w:spacing w:after="80" w:line="300" w:lineRule="auto"/>
      </w:pPr>
      <w:r>
        <w:rPr>
          <w:rFonts w:ascii="Calibri" w:hAnsi="Calibri" w:eastAsia="Calibri" w:cs="Calibri"/>
          <w:color w:val="111111"/>
          <w:sz w:val="22"/>
        </w:rPr>
        <w:t>Use completed bars only. Live inference uses forward filtering; Viterbi-smoothed states and future-revised data are forbidden.</w:t>
      </w:r>
    </w:p>
    <w:p>
      <w:pPr>
        <w:keepLines/>
        <w:numPr>
          <w:ilvl w:val="0"/>
          <w:numId w:val="10"/>
        </w:numPr>
        <w:spacing w:after="80" w:line="300" w:lineRule="auto"/>
      </w:pPr>
      <w:r>
        <w:rPr>
          <w:rFonts w:ascii="Calibri" w:hAnsi="Calibri" w:eastAsia="Calibri" w:cs="Calibri"/>
          <w:color w:val="111111"/>
          <w:sz w:val="22"/>
        </w:rPr>
        <w:t>Retain the Gaussian HMM plus soft regime-compatible historical analogue kernel as the frozen production main chain until a challenger passes the same promotion gates.</w:t>
      </w:r>
    </w:p>
    <w:p>
      <w:pPr>
        <w:keepLines/>
        <w:numPr>
          <w:ilvl w:val="0"/>
          <w:numId w:val="10"/>
        </w:numPr>
        <w:spacing w:after="80" w:line="300" w:lineRule="auto"/>
      </w:pPr>
      <w:r>
        <w:rPr>
          <w:rFonts w:ascii="Calibri" w:hAnsi="Calibri" w:eastAsia="Calibri" w:cs="Calibri"/>
          <w:color w:val="111111"/>
          <w:sz w:val="22"/>
        </w:rPr>
        <w:t>Treat LLM agents, khQuant, TradingAgents, and TradingView copilots as workflow and explanation layers. They do not create alpha and may not alter model numbers.</w:t>
      </w:r>
    </w:p>
    <w:p>
      <w:pPr>
        <w:keepLines/>
        <w:numPr>
          <w:ilvl w:val="0"/>
          <w:numId w:val="10"/>
        </w:numPr>
        <w:spacing w:after="80" w:line="300" w:lineRule="auto"/>
      </w:pPr>
      <w:r>
        <w:rPr>
          <w:rFonts w:ascii="Calibri" w:hAnsi="Calibri" w:eastAsia="Calibri" w:cs="Calibri"/>
          <w:color w:val="111111"/>
          <w:sz w:val="22"/>
        </w:rPr>
        <w:t>Publish NO_EDGE / NO_TRADE-style research abstention when expected edge does not clear costs, calibration is invalid, data is incomplete, latency breaches, or the observation is out of distribution.</w:t>
      </w:r>
    </w:p>
    <w:p>
      <w:pPr>
        <w:keepLines/>
        <w:numPr>
          <w:ilvl w:val="0"/>
          <w:numId w:val="10"/>
        </w:numPr>
        <w:spacing w:after="80" w:line="300" w:lineRule="auto"/>
      </w:pPr>
      <w:r>
        <w:rPr>
          <w:rFonts w:ascii="Calibri" w:hAnsi="Calibri" w:eastAsia="Calibri" w:cs="Calibri"/>
          <w:color w:val="111111"/>
          <w:sz w:val="22"/>
        </w:rPr>
        <w:t>Separate research evidence, shadow evidence, and production evidence. Two profitable trades from 4,940 candidates are insufficient for validation regardless of observed win rate.</w:t>
      </w:r>
    </w:p>
    <w:p>
      <w:pPr>
        <w:spacing w:before="60" w:after="160" w:line="276" w:lineRule="auto"/>
        <w:ind w:left="115" w:right="115"/>
        <w:shd w:fill="FBEAEA"/>
        <w:pBdr>
          <w:top w:val="single" w:sz="4" w:space="6" w:color="FBEAEA"/>
          <w:left w:val="single" w:sz="4" w:space="6" w:color="FBEAEA"/>
          <w:bottom w:val="single" w:sz="4" w:space="6" w:color="FBEAEA"/>
          <w:right w:val="single" w:sz="4" w:space="6" w:color="FBEAEA"/>
        </w:pBdr>
      </w:pPr>
      <w:r>
        <w:rPr>
          <w:rFonts w:ascii="Calibri" w:hAnsi="Calibri"/>
        </w:rPr>
        <w:t>CURRENT OBSERVED REALITY (31 JULY 2026) The customer query "goog amzn mu sndk" was normalized against a nine-symbol production public universe; GOOG, AMZN, and SNDK were silently removed and only MU survived. With the live feed waiting and no publishable candidate, /api/ask requested a single observed-session summary for symbols[0]. The UI then rendered that scalar summary and hard-coded SPX/SPY proxy language around a direct MU result. This is a P0 query-orchestration and presentation incident, not a four-asset model forecast and not evidence that the model selected MU for predictive merit.</w:t>
      </w:r>
    </w:p>
    <w:p>
      <w:pPr>
        <w:pStyle w:val="Heading1"/>
        <w:keepNext/>
      </w:pPr>
      <w:r>
        <w:t>Contents</w:t>
      </w:r>
    </w:p>
    <w:tbl>
      <w:tblPr>
        <w:tblW w:type="dxa" w:w="9360"/>
        <w:tblLayout w:type="fixed"/>
        <w:tblLook w:firstColumn="1" w:firstRow="1" w:lastColumn="0" w:lastRow="0" w:noHBand="0" w:noVBand="1" w:val="04A0"/>
        <w:jc w:val="center"/>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059"/>
        <w:gridCol w:w="7301"/>
      </w:tblGrid>
      <w:tr>
        <w:trPr>
          <w:tblHeader w:val="true"/>
          <w:cantSplit/>
        </w:trPr>
        <w:tc>
          <w:tcPr>
            <w:tcW w:type="dxa" w:w="2059"/>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9"/>
              </w:rPr>
              <w:t>Section</w:t>
            </w:r>
          </w:p>
        </w:tc>
        <w:tc>
          <w:tcPr>
            <w:tcW w:type="dxa" w:w="7301"/>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9"/>
              </w:rPr>
              <w:t>Purpose</w:t>
            </w:r>
          </w:p>
        </w:tc>
      </w:tr>
      <w:tr>
        <w:trPr>
          <w:cantSplit/>
        </w:trPr>
        <w:tc>
          <w:tcPr>
            <w:tcW w:type="dxa" w:w="2059"/>
            <w:tcMar>
              <w:top w:w="80" w:type="dxa"/>
              <w:start w:w="120" w:type="dxa"/>
              <w:bottom w:w="80" w:type="dxa"/>
              <w:end w:w="120" w:type="dxa"/>
            </w:tcMar>
            <w:vAlign w:val="center"/>
          </w:tcPr>
          <w:p>
            <w:pPr>
              <w:spacing w:after="0" w:line="259" w:lineRule="auto"/>
            </w:pPr>
            <w:r>
              <w:rPr>
                <w:rFonts w:ascii="Calibri" w:hAnsi="Calibri" w:eastAsia="Calibri" w:cs="Calibri"/>
                <w:color w:val="111111"/>
                <w:sz w:val="19"/>
              </w:rPr>
              <w:t>1-3</w:t>
            </w:r>
          </w:p>
        </w:tc>
        <w:tc>
          <w:tcPr>
            <w:tcW w:type="dxa" w:w="7301"/>
            <w:tcMar>
              <w:top w:w="80" w:type="dxa"/>
              <w:start w:w="120" w:type="dxa"/>
              <w:bottom w:w="80" w:type="dxa"/>
              <w:end w:w="120" w:type="dxa"/>
            </w:tcMar>
            <w:vAlign w:val="center"/>
          </w:tcPr>
          <w:p>
            <w:pPr>
              <w:spacing w:after="0" w:line="259" w:lineRule="auto"/>
            </w:pPr>
            <w:r>
              <w:rPr>
                <w:rFonts w:ascii="Calibri" w:hAnsi="Calibri" w:eastAsia="Calibri" w:cs="Calibri"/>
                <w:color w:val="111111"/>
                <w:sz w:val="19"/>
              </w:rPr>
              <w:t>Objective, scope, baseline, success definition</w:t>
            </w:r>
          </w:p>
        </w:tc>
      </w:tr>
      <w:tr>
        <w:trPr>
          <w:cantSplit/>
        </w:trPr>
        <w:tc>
          <w:tcPr>
            <w:tcW w:type="dxa" w:w="2059"/>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9"/>
              </w:rPr>
              <w:t>4-6</w:t>
            </w:r>
          </w:p>
        </w:tc>
        <w:tc>
          <w:tcPr>
            <w:tcW w:type="dxa" w:w="7301"/>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9"/>
              </w:rPr>
              <w:t>Forecast contract, data platform, causal features</w:t>
            </w:r>
          </w:p>
        </w:tc>
      </w:tr>
      <w:tr>
        <w:trPr>
          <w:cantSplit/>
        </w:trPr>
        <w:tc>
          <w:tcPr>
            <w:tcW w:type="dxa" w:w="2059"/>
            <w:tcMar>
              <w:top w:w="80" w:type="dxa"/>
              <w:start w:w="120" w:type="dxa"/>
              <w:bottom w:w="80" w:type="dxa"/>
              <w:end w:w="120" w:type="dxa"/>
            </w:tcMar>
            <w:vAlign w:val="center"/>
          </w:tcPr>
          <w:p>
            <w:pPr>
              <w:spacing w:after="0" w:line="259" w:lineRule="auto"/>
            </w:pPr>
            <w:r>
              <w:rPr>
                <w:rFonts w:ascii="Calibri" w:hAnsi="Calibri" w:eastAsia="Calibri" w:cs="Calibri"/>
                <w:color w:val="111111"/>
                <w:sz w:val="19"/>
              </w:rPr>
              <w:t>7-9</w:t>
            </w:r>
          </w:p>
        </w:tc>
        <w:tc>
          <w:tcPr>
            <w:tcW w:type="dxa" w:w="7301"/>
            <w:tcMar>
              <w:top w:w="80" w:type="dxa"/>
              <w:start w:w="120" w:type="dxa"/>
              <w:bottom w:w="80" w:type="dxa"/>
              <w:end w:w="120" w:type="dxa"/>
            </w:tcMar>
            <w:vAlign w:val="center"/>
          </w:tcPr>
          <w:p>
            <w:pPr>
              <w:spacing w:after="0" w:line="259" w:lineRule="auto"/>
            </w:pPr>
            <w:r>
              <w:rPr>
                <w:rFonts w:ascii="Calibri" w:hAnsi="Calibri" w:eastAsia="Calibri" w:cs="Calibri"/>
                <w:color w:val="111111"/>
                <w:sz w:val="19"/>
              </w:rPr>
              <w:t>Model stack, strategy registry, calibration and abstention</w:t>
            </w:r>
          </w:p>
        </w:tc>
      </w:tr>
      <w:tr>
        <w:trPr>
          <w:cantSplit/>
        </w:trPr>
        <w:tc>
          <w:tcPr>
            <w:tcW w:type="dxa" w:w="2059"/>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9"/>
              </w:rPr>
              <w:t>10-12</w:t>
            </w:r>
          </w:p>
        </w:tc>
        <w:tc>
          <w:tcPr>
            <w:tcW w:type="dxa" w:w="7301"/>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9"/>
              </w:rPr>
              <w:t>Backtesting, promotion gates, production architecture</w:t>
            </w:r>
          </w:p>
        </w:tc>
      </w:tr>
      <w:tr>
        <w:trPr>
          <w:cantSplit/>
        </w:trPr>
        <w:tc>
          <w:tcPr>
            <w:tcW w:type="dxa" w:w="2059"/>
            <w:tcMar>
              <w:top w:w="80" w:type="dxa"/>
              <w:start w:w="120" w:type="dxa"/>
              <w:bottom w:w="80" w:type="dxa"/>
              <w:end w:w="120" w:type="dxa"/>
            </w:tcMar>
            <w:vAlign w:val="center"/>
          </w:tcPr>
          <w:p>
            <w:pPr>
              <w:spacing w:after="0" w:line="259" w:lineRule="auto"/>
            </w:pPr>
            <w:r>
              <w:rPr>
                <w:rFonts w:ascii="Calibri" w:hAnsi="Calibri" w:eastAsia="Calibri" w:cs="Calibri"/>
                <w:color w:val="111111"/>
                <w:sz w:val="19"/>
              </w:rPr>
              <w:t>13-15</w:t>
            </w:r>
          </w:p>
        </w:tc>
        <w:tc>
          <w:tcPr>
            <w:tcW w:type="dxa" w:w="7301"/>
            <w:tcMar>
              <w:top w:w="80" w:type="dxa"/>
              <w:start w:w="120" w:type="dxa"/>
              <w:bottom w:w="80" w:type="dxa"/>
              <w:end w:w="120" w:type="dxa"/>
            </w:tcMar>
            <w:vAlign w:val="center"/>
          </w:tcPr>
          <w:p>
            <w:pPr>
              <w:spacing w:after="0" w:line="259" w:lineRule="auto"/>
            </w:pPr>
            <w:r>
              <w:rPr>
                <w:rFonts w:ascii="Calibri" w:hAnsi="Calibri" w:eastAsia="Calibri" w:cs="Calibri"/>
                <w:color w:val="111111"/>
                <w:sz w:val="19"/>
              </w:rPr>
              <w:t>Product/UI contract, observability, security and compliance</w:t>
            </w:r>
          </w:p>
        </w:tc>
      </w:tr>
      <w:tr>
        <w:trPr>
          <w:cantSplit/>
        </w:trPr>
        <w:tc>
          <w:tcPr>
            <w:tcW w:type="dxa" w:w="2059"/>
            <w:shd w:fill="FAFBFC"/>
            <w:tcMar>
              <w:top w:w="80" w:type="dxa"/>
              <w:start w:w="120" w:type="dxa"/>
              <w:bottom w:w="80" w:type="dxa"/>
              <w:end w:w="120" w:type="dxa"/>
            </w:tcMar>
            <w:vAlign w:val="center"/>
          </w:tcPr>
          <w:p>
            <w:r>
              <w:t>16-17</w:t>
            </w:r>
          </w:p>
        </w:tc>
        <w:tc>
          <w:tcPr>
            <w:tcW w:type="dxa" w:w="7301"/>
            <w:shd w:fill="FAFBFC"/>
            <w:tcMar>
              <w:top w:w="80" w:type="dxa"/>
              <w:start w:w="120" w:type="dxa"/>
              <w:bottom w:w="80" w:type="dxa"/>
              <w:end w:w="120" w:type="dxa"/>
            </w:tcMar>
            <w:vAlign w:val="center"/>
          </w:tcPr>
          <w:p>
            <w:r>
              <w:t>Roadmap and core acceptance matrix</w:t>
            </w:r>
          </w:p>
        </w:tc>
      </w:tr>
      <w:tr>
        <w:trPr>
          <w:cantSplit/>
        </w:trPr>
        <w:tc>
          <w:tcPr>
            <w:tcW w:type="dxa" w:w="2059"/>
            <w:tcMar>
              <w:top w:w="80" w:type="dxa"/>
              <w:start w:w="120" w:type="dxa"/>
              <w:bottom w:w="80" w:type="dxa"/>
              <w:end w:w="120" w:type="dxa"/>
            </w:tcMar>
            <w:vAlign w:val="center"/>
          </w:tcPr>
          <w:p>
            <w:r>
              <w:t>18-23</w:t>
            </w:r>
          </w:p>
        </w:tc>
        <w:tc>
          <w:tcPr>
            <w:tcW w:type="dxa" w:w="7301"/>
            <w:tcMar>
              <w:top w:w="80" w:type="dxa"/>
              <w:start w:w="120" w:type="dxa"/>
              <w:bottom w:w="80" w:type="dxa"/>
              <w:end w:w="120" w:type="dxa"/>
            </w:tcMar>
            <w:vAlign w:val="center"/>
          </w:tcPr>
          <w:p>
            <w:r>
              <w:t>Incident diagnosis, multi-asset contract, sector rotation, AWS persistence, accuracy program, and definition of done</w:t>
            </w:r>
          </w:p>
        </w:tc>
      </w:tr>
    </w:tbl>
    <w:p>
      <w:pPr>
        <w:spacing w:after="40"/>
      </w:pPr>
    </w:p>
    <w:p>
      <w:r>
        <w:br w:type="page"/>
      </w:r>
    </w:p>
    <w:p>
      <w:pPr>
        <w:pStyle w:val="Heading1"/>
        <w:keepNext/>
      </w:pPr>
      <w:r>
        <w:t>1. Product Objective and Non-Goals</w:t>
      </w:r>
    </w:p>
    <w:p>
      <w:pPr>
        <w:pStyle w:val="Heading2"/>
        <w:keepNext/>
      </w:pPr>
      <w:r>
        <w:t>1.1 Objective</w:t>
      </w:r>
    </w:p>
    <w:p>
      <w:pPr>
        <w:spacing w:after="120" w:line="300" w:lineRule="auto"/>
      </w:pPr>
      <w:r>
        <w:rPr>
          <w:rFonts w:ascii="Calibri" w:hAnsi="Calibri" w:eastAsia="Calibri" w:cs="Calibri"/>
          <w:i w:val="0"/>
          <w:color w:val="111111"/>
          <w:sz w:val="22"/>
        </w:rPr>
        <w:t>Build an evidence-first quantitative market intelligence system that continuously ingests point-in-time market data, produces calibrated 5/15/30/60-minute probabilistic forecasts after each finalized interval, explains the forecast from immutable evidence, and abstains when the forecast is not operationally or statistically valid.</w:t>
      </w:r>
    </w:p>
    <w:p>
      <w:pPr>
        <w:pStyle w:val="Heading2"/>
        <w:keepNext/>
      </w:pPr>
      <w:r>
        <w:t>1.2 User-visible outcome</w:t>
      </w:r>
    </w:p>
    <w:p>
      <w:pPr>
        <w:keepLines/>
        <w:numPr>
          <w:ilvl w:val="0"/>
          <w:numId w:val="11"/>
        </w:numPr>
        <w:spacing w:after="80" w:line="300" w:lineRule="auto"/>
      </w:pPr>
      <w:r>
        <w:rPr>
          <w:rFonts w:ascii="Calibri" w:hAnsi="Calibri" w:eastAsia="Calibri" w:cs="Calibri"/>
          <w:color w:val="111111"/>
          <w:sz w:val="22"/>
        </w:rPr>
        <w:t>Current regime probability vector and human-readable regime description.</w:t>
      </w:r>
    </w:p>
    <w:p>
      <w:pPr>
        <w:keepLines/>
        <w:numPr>
          <w:ilvl w:val="0"/>
          <w:numId w:val="11"/>
        </w:numPr>
        <w:spacing w:after="80" w:line="300" w:lineRule="auto"/>
      </w:pPr>
      <w:r>
        <w:rPr>
          <w:rFonts w:ascii="Calibri" w:hAnsi="Calibri" w:eastAsia="Calibri" w:cs="Calibri"/>
          <w:color w:val="111111"/>
          <w:sz w:val="22"/>
        </w:rPr>
        <w:t>Probability of positive return after estimated costs for each horizon.</w:t>
      </w:r>
    </w:p>
    <w:p>
      <w:pPr>
        <w:keepLines/>
        <w:numPr>
          <w:ilvl w:val="0"/>
          <w:numId w:val="11"/>
        </w:numPr>
        <w:spacing w:after="80" w:line="300" w:lineRule="auto"/>
      </w:pPr>
      <w:r>
        <w:rPr>
          <w:rFonts w:ascii="Calibri" w:hAnsi="Calibri" w:eastAsia="Calibri" w:cs="Calibri"/>
          <w:color w:val="111111"/>
          <w:sz w:val="22"/>
        </w:rPr>
        <w:t>Expected return and 10/25/50/75/90% forward-return quantiles.</w:t>
      </w:r>
    </w:p>
    <w:p>
      <w:pPr>
        <w:keepLines/>
        <w:numPr>
          <w:ilvl w:val="0"/>
          <w:numId w:val="11"/>
        </w:numPr>
        <w:spacing w:after="80" w:line="300" w:lineRule="auto"/>
      </w:pPr>
      <w:r>
        <w:rPr>
          <w:rFonts w:ascii="Calibri" w:hAnsi="Calibri" w:eastAsia="Calibri" w:cs="Calibri"/>
          <w:color w:val="111111"/>
          <w:sz w:val="22"/>
        </w:rPr>
        <w:t>80% and 90% calibrated intervals with empirical coverage status.</w:t>
      </w:r>
    </w:p>
    <w:p>
      <w:pPr>
        <w:keepLines/>
        <w:numPr>
          <w:ilvl w:val="0"/>
          <w:numId w:val="11"/>
        </w:numPr>
        <w:spacing w:after="80" w:line="300" w:lineRule="auto"/>
      </w:pPr>
      <w:r>
        <w:rPr>
          <w:rFonts w:ascii="Calibri" w:hAnsi="Calibri" w:eastAsia="Calibri" w:cs="Calibri"/>
          <w:color w:val="111111"/>
          <w:sz w:val="22"/>
        </w:rPr>
        <w:t>Top historical analogues, analogue count/effective sample size, and similarity quality.</w:t>
      </w:r>
    </w:p>
    <w:p>
      <w:pPr>
        <w:keepLines/>
        <w:numPr>
          <w:ilvl w:val="0"/>
          <w:numId w:val="11"/>
        </w:numPr>
        <w:spacing w:after="80" w:line="300" w:lineRule="auto"/>
      </w:pPr>
      <w:r>
        <w:rPr>
          <w:rFonts w:ascii="Calibri" w:hAnsi="Calibri" w:eastAsia="Calibri" w:cs="Calibri"/>
          <w:color w:val="111111"/>
          <w:sz w:val="22"/>
        </w:rPr>
        <w:t>Volatility-expansion probability, trend/mean-reversion state, and event-risk flags.</w:t>
      </w:r>
    </w:p>
    <w:p>
      <w:pPr>
        <w:keepLines/>
        <w:numPr>
          <w:ilvl w:val="0"/>
          <w:numId w:val="11"/>
        </w:numPr>
        <w:spacing w:after="80" w:line="300" w:lineRule="auto"/>
      </w:pPr>
      <w:r>
        <w:rPr>
          <w:rFonts w:ascii="Calibri" w:hAnsi="Calibri" w:eastAsia="Calibri" w:cs="Calibri"/>
          <w:color w:val="111111"/>
          <w:sz w:val="22"/>
        </w:rPr>
        <w:t>Evidence, source, exact cutoff, freshness, model version, calibration version, and reason-coded abstention.</w:t>
      </w:r>
    </w:p>
    <w:p>
      <w:pPr>
        <w:pStyle w:val="Heading2"/>
        <w:keepNext/>
      </w:pPr>
      <w:r>
        <w:t>1.3 Non-goals</w:t>
      </w:r>
    </w:p>
    <w:p>
      <w:pPr>
        <w:keepLines/>
        <w:numPr>
          <w:ilvl w:val="0"/>
          <w:numId w:val="12"/>
        </w:numPr>
        <w:spacing w:after="80" w:line="300" w:lineRule="auto"/>
      </w:pPr>
      <w:r>
        <w:rPr>
          <w:rFonts w:ascii="Calibri" w:hAnsi="Calibri" w:eastAsia="Calibri" w:cs="Calibri"/>
          <w:color w:val="111111"/>
          <w:sz w:val="22"/>
        </w:rPr>
        <w:t>No claim of deterministic price prediction, guaranteed accuracy, or market omniscience.</w:t>
      </w:r>
    </w:p>
    <w:p>
      <w:pPr>
        <w:keepLines/>
        <w:numPr>
          <w:ilvl w:val="0"/>
          <w:numId w:val="12"/>
        </w:numPr>
        <w:spacing w:after="80" w:line="300" w:lineRule="auto"/>
      </w:pPr>
      <w:r>
        <w:rPr>
          <w:rFonts w:ascii="Calibri" w:hAnsi="Calibri" w:eastAsia="Calibri" w:cs="Calibri"/>
          <w:color w:val="111111"/>
          <w:sz w:val="22"/>
        </w:rPr>
        <w:t>No public automated order execution, copy trading, personalized investment recommendation, or portfolio management in this product scope.</w:t>
      </w:r>
    </w:p>
    <w:p>
      <w:pPr>
        <w:keepLines/>
        <w:numPr>
          <w:ilvl w:val="0"/>
          <w:numId w:val="12"/>
        </w:numPr>
        <w:spacing w:after="80" w:line="300" w:lineRule="auto"/>
      </w:pPr>
      <w:r>
        <w:rPr>
          <w:rFonts w:ascii="Calibri" w:hAnsi="Calibri" w:eastAsia="Calibri" w:cs="Calibri"/>
          <w:color w:val="111111"/>
          <w:sz w:val="22"/>
        </w:rPr>
        <w:t>No LLM-generated numeric forecast, invented data, silent fallback source, or post-hoc editing of model outputs.</w:t>
      </w:r>
    </w:p>
    <w:p>
      <w:pPr>
        <w:keepLines/>
        <w:numPr>
          <w:ilvl w:val="0"/>
          <w:numId w:val="12"/>
        </w:numPr>
        <w:spacing w:after="80" w:line="300" w:lineRule="auto"/>
      </w:pPr>
      <w:r>
        <w:rPr>
          <w:rFonts w:ascii="Calibri" w:hAnsi="Calibri" w:eastAsia="Calibri" w:cs="Calibri"/>
          <w:color w:val="111111"/>
          <w:sz w:val="22"/>
        </w:rPr>
        <w:t>No promotion based on in-sample Sharpe, a single favorable period, raw win rate, or a tiny number of gated trades.</w:t>
      </w:r>
    </w:p>
    <w:p>
      <w:pPr>
        <w:keepLines/>
        <w:numPr>
          <w:ilvl w:val="0"/>
          <w:numId w:val="12"/>
        </w:numPr>
        <w:spacing w:after="80" w:line="300" w:lineRule="auto"/>
      </w:pPr>
      <w:r>
        <w:rPr>
          <w:rFonts w:ascii="Calibri" w:hAnsi="Calibri" w:eastAsia="Calibri" w:cs="Calibri"/>
          <w:color w:val="111111"/>
          <w:sz w:val="22"/>
        </w:rPr>
        <w:t>No use of current constituents, revised fundamentals, final option open interest, or future corporate-action knowledge in historical features.</w:t>
      </w:r>
    </w:p>
    <w:p>
      <w:pPr>
        <w:pStyle w:val="Heading1"/>
        <w:keepNext/>
      </w:pPr>
      <w:r>
        <w:t>2. Baseline: What 'Price Is a Martingale' Means</w:t>
      </w:r>
    </w:p>
    <w:p>
      <w:pPr>
        <w:spacing w:after="120" w:line="300" w:lineRule="auto"/>
      </w:pPr>
      <w:r>
        <w:rPr>
          <w:rFonts w:ascii="Calibri" w:hAnsi="Calibri" w:eastAsia="Calibri" w:cs="Calibri"/>
          <w:i w:val="0"/>
          <w:color w:val="111111"/>
          <w:sz w:val="22"/>
        </w:rPr>
        <w:t>The statement is directionally useful but must be implemented precisely. Under the risk-neutral measure, the discounted tradable price is modeled as a martingale. Under the real-world measure, risk premia, microstructure, flows, constraints, and behavioral effects can create small conditional drift. At intraday horizons, however, the current price or zero-return forecast is a formidable benchmark.</w:t>
      </w:r>
    </w:p>
    <w:p>
      <w:pPr>
        <w:spacing w:before="60" w:after="160" w:line="240" w:lineRule="auto"/>
        <w:ind w:left="115" w:right="115"/>
        <w:shd w:fill="F7F8FA"/>
        <w:pBdr>
          <w:top w:val="single" w:sz="4" w:space="6" w:color="D7DBE2"/>
          <w:left w:val="single" w:sz="4" w:space="6" w:color="D7DBE2"/>
          <w:bottom w:val="single" w:sz="4" w:space="6" w:color="D7DBE2"/>
          <w:right w:val="single" w:sz="4" w:space="6" w:color="D7DBE2"/>
        </w:pBdr>
      </w:pPr>
      <w:r>
        <w:rPr>
          <w:rFonts w:ascii="DejaVu Sans Mono" w:hAnsi="DejaVu Sans Mono" w:eastAsia="DejaVu Sans Mono" w:cs="DejaVu Sans Mono"/>
          <w:color w:val="27313D"/>
          <w:sz w:val="16"/>
        </w:rPr>
        <w:t>Naive point forecast:       E[P(t+h) | I(t)] = P(t)</w:t>
        <w:br/>
        <w:t>Naive return forecast:      E[r(t,t+h) | I(t)] = 0</w:t>
        <w:br/>
        <w:t>AXIO7 forecast target:      E[r(t,t+h) | X(t)] and F(r | X(t)), conditional on causal state X(t)</w:t>
        <w:br/>
        <w:t>Publishable edge:           E[r_net | X(t)] &gt; 0 with calibrated uncertainty and OOS evidence</w:t>
      </w:r>
    </w:p>
    <w:p>
      <w:pPr>
        <w:spacing w:before="60" w:after="160" w:line="276" w:lineRule="auto"/>
        <w:ind w:left="115" w:right="115"/>
        <w:shd w:fill="FFF6DD"/>
        <w:pBdr>
          <w:top w:val="single" w:sz="4" w:space="6" w:color="FFF6DD"/>
          <w:left w:val="single" w:sz="4" w:space="6" w:color="FFF6DD"/>
          <w:bottom w:val="single" w:sz="4" w:space="6" w:color="FFF6DD"/>
          <w:right w:val="single" w:sz="4" w:space="6" w:color="FFF6DD"/>
        </w:pBdr>
      </w:pPr>
      <w:r>
        <w:rPr>
          <w:rFonts w:ascii="Calibri" w:hAnsi="Calibri" w:eastAsia="Calibri" w:cs="Calibri"/>
          <w:b/>
          <w:color w:val="7A5A00"/>
          <w:sz w:val="21"/>
        </w:rPr>
        <w:t xml:space="preserve">BENCHMARK RULE  </w:t>
      </w:r>
      <w:r>
        <w:rPr>
          <w:rFonts w:ascii="Calibri" w:hAnsi="Calibri" w:eastAsia="Calibri" w:cs="Calibri"/>
          <w:color w:val="111111"/>
          <w:sz w:val="21"/>
        </w:rPr>
        <w:t>Every candidate model must beat both the zero-return/random-walk baseline and a simple regularized baseline on the same point-in-time observations. If the advanced stack cannot beat them, the correct product output is NO_EDGE.</w:t>
      </w:r>
    </w:p>
    <w:p>
      <w:pPr>
        <w:pStyle w:val="Heading2"/>
        <w:keepNext/>
      </w:pPr>
      <w:r>
        <w:t>2.1 Required benchmark suite</w:t>
      </w:r>
    </w:p>
    <w:tbl>
      <w:tblPr>
        <w:tblW w:type="dxa" w:w="9360"/>
        <w:tblLayout w:type="fixed"/>
        <w:tblLook w:firstColumn="1" w:firstRow="1" w:lastColumn="0" w:lastRow="0" w:noHBand="0" w:noVBand="1" w:val="04A0"/>
        <w:jc w:val="left"/>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700"/>
        <w:gridCol w:w="3400"/>
        <w:gridCol w:w="4260"/>
      </w:tblGrid>
      <w:tr>
        <w:trPr>
          <w:tblHeader w:val="true"/>
        </w:trPr>
        <w:tc>
          <w:tcPr>
            <w:tcW w:type="dxa" w:w="1700"/>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8"/>
              </w:rPr>
              <w:t>Benchmark</w:t>
            </w:r>
          </w:p>
        </w:tc>
        <w:tc>
          <w:tcPr>
            <w:tcW w:type="dxa" w:w="3400"/>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8"/>
              </w:rPr>
              <w:t>Purpose</w:t>
            </w:r>
          </w:p>
        </w:tc>
        <w:tc>
          <w:tcPr>
            <w:tcW w:type="dxa" w:w="4260"/>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8"/>
              </w:rPr>
              <w:t>Minimum comparison</w:t>
            </w:r>
          </w:p>
        </w:tc>
      </w:tr>
      <w:tr>
        <w:tc>
          <w:tcPr>
            <w:tcW w:type="dxa" w:w="1700"/>
            <w:tcMar>
              <w:top w:w="80" w:type="dxa"/>
              <w:start w:w="120" w:type="dxa"/>
              <w:bottom w:w="80" w:type="dxa"/>
              <w:end w:w="120" w:type="dxa"/>
            </w:tcMar>
            <w:vAlign w:val="center"/>
          </w:tcPr>
          <w:p>
            <w:pPr>
              <w:spacing w:after="0" w:line="259" w:lineRule="auto"/>
            </w:pPr>
            <w:r>
              <w:rPr>
                <w:rFonts w:ascii="Calibri" w:hAnsi="Calibri" w:eastAsia="Calibri" w:cs="Calibri"/>
                <w:color w:val="111111"/>
                <w:sz w:val="18"/>
              </w:rPr>
              <w:t>B0: Zero return</w:t>
            </w:r>
          </w:p>
        </w:tc>
        <w:tc>
          <w:tcPr>
            <w:tcW w:type="dxa" w:w="3400"/>
            <w:tcMar>
              <w:top w:w="80" w:type="dxa"/>
              <w:start w:w="120" w:type="dxa"/>
              <w:bottom w:w="80" w:type="dxa"/>
              <w:end w:w="120" w:type="dxa"/>
            </w:tcMar>
            <w:vAlign w:val="center"/>
          </w:tcPr>
          <w:p>
            <w:pPr>
              <w:spacing w:after="0" w:line="259" w:lineRule="auto"/>
            </w:pPr>
            <w:r>
              <w:rPr>
                <w:rFonts w:ascii="Calibri" w:hAnsi="Calibri" w:eastAsia="Calibri" w:cs="Calibri"/>
                <w:color w:val="111111"/>
                <w:sz w:val="18"/>
              </w:rPr>
              <w:t>Martingale/random-walk anchor</w:t>
            </w:r>
          </w:p>
        </w:tc>
        <w:tc>
          <w:tcPr>
            <w:tcW w:type="dxa" w:w="4260"/>
            <w:tcMar>
              <w:top w:w="80" w:type="dxa"/>
              <w:start w:w="120" w:type="dxa"/>
              <w:bottom w:w="80" w:type="dxa"/>
              <w:end w:w="120" w:type="dxa"/>
            </w:tcMar>
            <w:vAlign w:val="center"/>
          </w:tcPr>
          <w:p>
            <w:pPr>
              <w:spacing w:after="0" w:line="259" w:lineRule="auto"/>
            </w:pPr>
            <w:r>
              <w:rPr>
                <w:rFonts w:ascii="Calibri" w:hAnsi="Calibri" w:eastAsia="Calibri" w:cs="Calibri"/>
                <w:color w:val="111111"/>
                <w:sz w:val="18"/>
              </w:rPr>
              <w:t>MAE/RMSE, CRPS, directional Brier/log loss</w:t>
            </w:r>
          </w:p>
        </w:tc>
      </w:tr>
      <w:tr>
        <w:tc>
          <w:tcPr>
            <w:tcW w:type="dxa" w:w="17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8"/>
              </w:rPr>
              <w:t>B1: Historical unconditional</w:t>
            </w:r>
          </w:p>
        </w:tc>
        <w:tc>
          <w:tcPr>
            <w:tcW w:type="dxa" w:w="34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8"/>
              </w:rPr>
              <w:t>Base rate by symbol and horizon</w:t>
            </w:r>
          </w:p>
        </w:tc>
        <w:tc>
          <w:tcPr>
            <w:tcW w:type="dxa" w:w="426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8"/>
              </w:rPr>
              <w:t>Calibration and class imbalance</w:t>
            </w:r>
          </w:p>
        </w:tc>
      </w:tr>
      <w:tr>
        <w:tc>
          <w:tcPr>
            <w:tcW w:type="dxa" w:w="1700"/>
            <w:tcMar>
              <w:top w:w="80" w:type="dxa"/>
              <w:start w:w="120" w:type="dxa"/>
              <w:bottom w:w="80" w:type="dxa"/>
              <w:end w:w="120" w:type="dxa"/>
            </w:tcMar>
            <w:vAlign w:val="center"/>
          </w:tcPr>
          <w:p>
            <w:pPr>
              <w:spacing w:after="0" w:line="259" w:lineRule="auto"/>
            </w:pPr>
            <w:r>
              <w:rPr>
                <w:rFonts w:ascii="Calibri" w:hAnsi="Calibri" w:eastAsia="Calibri" w:cs="Calibri"/>
                <w:color w:val="111111"/>
                <w:sz w:val="18"/>
              </w:rPr>
              <w:t>B2: Regime-only</w:t>
            </w:r>
          </w:p>
        </w:tc>
        <w:tc>
          <w:tcPr>
            <w:tcW w:type="dxa" w:w="3400"/>
            <w:tcMar>
              <w:top w:w="80" w:type="dxa"/>
              <w:start w:w="120" w:type="dxa"/>
              <w:bottom w:w="80" w:type="dxa"/>
              <w:end w:w="120" w:type="dxa"/>
            </w:tcMar>
            <w:vAlign w:val="center"/>
          </w:tcPr>
          <w:p>
            <w:pPr>
              <w:spacing w:after="0" w:line="259" w:lineRule="auto"/>
            </w:pPr>
            <w:r>
              <w:rPr>
                <w:rFonts w:ascii="Calibri" w:hAnsi="Calibri" w:eastAsia="Calibri" w:cs="Calibri"/>
                <w:color w:val="111111"/>
                <w:sz w:val="18"/>
              </w:rPr>
              <w:t>Tests whether analogues add value</w:t>
            </w:r>
          </w:p>
        </w:tc>
        <w:tc>
          <w:tcPr>
            <w:tcW w:type="dxa" w:w="4260"/>
            <w:tcMar>
              <w:top w:w="80" w:type="dxa"/>
              <w:start w:w="120" w:type="dxa"/>
              <w:bottom w:w="80" w:type="dxa"/>
              <w:end w:w="120" w:type="dxa"/>
            </w:tcMar>
            <w:vAlign w:val="center"/>
          </w:tcPr>
          <w:p>
            <w:pPr>
              <w:spacing w:after="0" w:line="259" w:lineRule="auto"/>
            </w:pPr>
            <w:r>
              <w:rPr>
                <w:rFonts w:ascii="Calibri" w:hAnsi="Calibri" w:eastAsia="Calibri" w:cs="Calibri"/>
                <w:color w:val="111111"/>
                <w:sz w:val="18"/>
              </w:rPr>
              <w:t>Incremental skill over HMM context</w:t>
            </w:r>
          </w:p>
        </w:tc>
      </w:tr>
      <w:tr>
        <w:tc>
          <w:tcPr>
            <w:tcW w:type="dxa" w:w="17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8"/>
              </w:rPr>
              <w:t>B3: Regularized logistic/ridge</w:t>
            </w:r>
          </w:p>
        </w:tc>
        <w:tc>
          <w:tcPr>
            <w:tcW w:type="dxa" w:w="34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8"/>
              </w:rPr>
              <w:t>Simple causal baseline</w:t>
            </w:r>
          </w:p>
        </w:tc>
        <w:tc>
          <w:tcPr>
            <w:tcW w:type="dxa" w:w="426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8"/>
              </w:rPr>
              <w:t>Probability and expected-return skill</w:t>
            </w:r>
          </w:p>
        </w:tc>
      </w:tr>
      <w:tr>
        <w:tc>
          <w:tcPr>
            <w:tcW w:type="dxa" w:w="1700"/>
            <w:tcMar>
              <w:top w:w="80" w:type="dxa"/>
              <w:start w:w="120" w:type="dxa"/>
              <w:bottom w:w="80" w:type="dxa"/>
              <w:end w:w="120" w:type="dxa"/>
            </w:tcMar>
            <w:vAlign w:val="center"/>
          </w:tcPr>
          <w:p>
            <w:pPr>
              <w:spacing w:after="0" w:line="259" w:lineRule="auto"/>
            </w:pPr>
            <w:r>
              <w:rPr>
                <w:rFonts w:ascii="Calibri" w:hAnsi="Calibri" w:eastAsia="Calibri" w:cs="Calibri"/>
                <w:color w:val="111111"/>
                <w:sz w:val="18"/>
              </w:rPr>
              <w:t>B4: Cost-blind oracle diagnostic</w:t>
            </w:r>
          </w:p>
        </w:tc>
        <w:tc>
          <w:tcPr>
            <w:tcW w:type="dxa" w:w="3400"/>
            <w:tcMar>
              <w:top w:w="80" w:type="dxa"/>
              <w:start w:w="120" w:type="dxa"/>
              <w:bottom w:w="80" w:type="dxa"/>
              <w:end w:w="120" w:type="dxa"/>
            </w:tcMar>
            <w:vAlign w:val="center"/>
          </w:tcPr>
          <w:p>
            <w:pPr>
              <w:spacing w:after="0" w:line="259" w:lineRule="auto"/>
            </w:pPr>
            <w:r>
              <w:rPr>
                <w:rFonts w:ascii="Calibri" w:hAnsi="Calibri" w:eastAsia="Calibri" w:cs="Calibri"/>
                <w:color w:val="111111"/>
                <w:sz w:val="18"/>
              </w:rPr>
              <w:t>Upper-bound debugging only</w:t>
            </w:r>
          </w:p>
        </w:tc>
        <w:tc>
          <w:tcPr>
            <w:tcW w:type="dxa" w:w="4260"/>
            <w:tcMar>
              <w:top w:w="80" w:type="dxa"/>
              <w:start w:w="120" w:type="dxa"/>
              <w:bottom w:w="80" w:type="dxa"/>
              <w:end w:w="120" w:type="dxa"/>
            </w:tcMar>
            <w:vAlign w:val="center"/>
          </w:tcPr>
          <w:p>
            <w:pPr>
              <w:spacing w:after="0" w:line="259" w:lineRule="auto"/>
            </w:pPr>
            <w:r>
              <w:rPr>
                <w:rFonts w:ascii="Calibri" w:hAnsi="Calibri" w:eastAsia="Calibri" w:cs="Calibri"/>
                <w:color w:val="111111"/>
                <w:sz w:val="18"/>
              </w:rPr>
              <w:t>Never publish or trade from this benchmark</w:t>
            </w:r>
          </w:p>
        </w:tc>
      </w:tr>
    </w:tbl>
    <w:p>
      <w:pPr>
        <w:spacing w:after="40"/>
      </w:pPr>
    </w:p>
    <w:p>
      <w:pPr>
        <w:pStyle w:val="Heading1"/>
        <w:keepNext/>
      </w:pPr>
      <w:r>
        <w:t>3. Success Metrics and Release Levels</w:t>
      </w:r>
    </w:p>
    <w:tbl>
      <w:tblPr>
        <w:tblW w:type="dxa" w:w="9360"/>
        <w:tblLayout w:type="fixed"/>
        <w:tblLook w:firstColumn="1" w:firstRow="1" w:lastColumn="0" w:lastRow="0" w:noHBand="0" w:noVBand="1" w:val="04A0"/>
        <w:jc w:val="left"/>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250"/>
        <w:gridCol w:w="2200"/>
        <w:gridCol w:w="3650"/>
        <w:gridCol w:w="2260"/>
      </w:tblGrid>
      <w:tr>
        <w:trPr>
          <w:tblHeader w:val="true"/>
        </w:trPr>
        <w:tc>
          <w:tcPr>
            <w:tcW w:type="dxa" w:w="1250"/>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7"/>
              </w:rPr>
              <w:t>Level</w:t>
            </w:r>
          </w:p>
        </w:tc>
        <w:tc>
          <w:tcPr>
            <w:tcW w:type="dxa" w:w="2200"/>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7"/>
              </w:rPr>
              <w:t>Meaning</w:t>
            </w:r>
          </w:p>
        </w:tc>
        <w:tc>
          <w:tcPr>
            <w:tcW w:type="dxa" w:w="3650"/>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7"/>
              </w:rPr>
              <w:t>Evidence required</w:t>
            </w:r>
          </w:p>
        </w:tc>
        <w:tc>
          <w:tcPr>
            <w:tcW w:type="dxa" w:w="2260"/>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7"/>
              </w:rPr>
              <w:t>Allowed output</w:t>
            </w:r>
          </w:p>
        </w:tc>
      </w:tr>
      <w:tr>
        <w:tc>
          <w:tcPr>
            <w:tcW w:type="dxa" w:w="125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R0 Research</w:t>
            </w:r>
          </w:p>
        </w:tc>
        <w:tc>
          <w:tcPr>
            <w:tcW w:type="dxa" w:w="22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Code runs on historical data</w:t>
            </w:r>
          </w:p>
        </w:tc>
        <w:tc>
          <w:tcPr>
            <w:tcW w:type="dxa" w:w="365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Leakage tests and reproducible artifacts</w:t>
            </w:r>
          </w:p>
        </w:tc>
        <w:tc>
          <w:tcPr>
            <w:tcW w:type="dxa" w:w="226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Internal only</w:t>
            </w:r>
          </w:p>
        </w:tc>
      </w:tr>
      <w:tr>
        <w:tc>
          <w:tcPr>
            <w:tcW w:type="dxa" w:w="125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R1 Candidate</w:t>
            </w:r>
          </w:p>
        </w:tc>
        <w:tc>
          <w:tcPr>
            <w:tcW w:type="dxa" w:w="22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Positive walk-forward skill</w:t>
            </w:r>
          </w:p>
        </w:tc>
        <w:tc>
          <w:tcPr>
            <w:tcW w:type="dxa" w:w="365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Multiple OOS folds and negative controls</w:t>
            </w:r>
          </w:p>
        </w:tc>
        <w:tc>
          <w:tcPr>
            <w:tcW w:type="dxa" w:w="226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Research UI with UNVALIDATED label</w:t>
            </w:r>
          </w:p>
        </w:tc>
      </w:tr>
      <w:tr>
        <w:tc>
          <w:tcPr>
            <w:tcW w:type="dxa" w:w="125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R2 Shadow</w:t>
            </w:r>
          </w:p>
        </w:tc>
        <w:tc>
          <w:tcPr>
            <w:tcW w:type="dxa" w:w="22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Live forward predictions</w:t>
            </w:r>
          </w:p>
        </w:tc>
        <w:tc>
          <w:tcPr>
            <w:tcW w:type="dxa" w:w="365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&gt;=20 sessions, complete ledger, SLA/coverage</w:t>
            </w:r>
          </w:p>
        </w:tc>
        <w:tc>
          <w:tcPr>
            <w:tcW w:type="dxa" w:w="226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Internal shadow; no official forecast</w:t>
            </w:r>
          </w:p>
        </w:tc>
      </w:tr>
      <w:tr>
        <w:tc>
          <w:tcPr>
            <w:tcW w:type="dxa" w:w="125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R3 Promoted</w:t>
            </w:r>
          </w:p>
        </w:tc>
        <w:tc>
          <w:tcPr>
            <w:tcW w:type="dxa" w:w="22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Statistical and operational gates pass</w:t>
            </w:r>
          </w:p>
        </w:tc>
        <w:tc>
          <w:tcPr>
            <w:tcW w:type="dxa" w:w="365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Locked model/calibration, approval record</w:t>
            </w:r>
          </w:p>
        </w:tc>
        <w:tc>
          <w:tcPr>
            <w:tcW w:type="dxa" w:w="226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Official research forecast</w:t>
            </w:r>
          </w:p>
        </w:tc>
      </w:tr>
      <w:tr>
        <w:tc>
          <w:tcPr>
            <w:tcW w:type="dxa" w:w="125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R4 Production</w:t>
            </w:r>
          </w:p>
        </w:tc>
        <w:tc>
          <w:tcPr>
            <w:tcW w:type="dxa" w:w="22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Stable promoted service</w:t>
            </w:r>
          </w:p>
        </w:tc>
        <w:tc>
          <w:tcPr>
            <w:tcW w:type="dxa" w:w="365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Monitoring, rollback, incident runbook</w:t>
            </w:r>
          </w:p>
        </w:tc>
        <w:tc>
          <w:tcPr>
            <w:tcW w:type="dxa" w:w="226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Customer-facing evidence envelope</w:t>
            </w:r>
          </w:p>
        </w:tc>
      </w:tr>
    </w:tbl>
    <w:p>
      <w:pPr>
        <w:spacing w:after="40"/>
      </w:pPr>
    </w:p>
    <w:p>
      <w:pPr>
        <w:pStyle w:val="Heading2"/>
        <w:keepNext/>
      </w:pPr>
      <w:r>
        <w:t>3.1 North-star metrics</w:t>
      </w:r>
    </w:p>
    <w:p>
      <w:pPr>
        <w:keepLines/>
        <w:numPr>
          <w:ilvl w:val="0"/>
          <w:numId w:val="13"/>
        </w:numPr>
        <w:spacing w:after="80" w:line="300" w:lineRule="auto"/>
      </w:pPr>
      <w:r>
        <w:rPr>
          <w:rFonts w:ascii="Calibri" w:hAnsi="Calibri" w:eastAsia="Calibri" w:cs="Calibri"/>
          <w:color w:val="111111"/>
          <w:sz w:val="22"/>
        </w:rPr>
        <w:t>Forecast skill: positive Brier skill and CRPS improvement versus B0/B1/B3 across independent time blocks.</w:t>
      </w:r>
    </w:p>
    <w:p>
      <w:pPr>
        <w:keepLines/>
        <w:numPr>
          <w:ilvl w:val="0"/>
          <w:numId w:val="13"/>
        </w:numPr>
        <w:spacing w:after="80" w:line="300" w:lineRule="auto"/>
      </w:pPr>
      <w:r>
        <w:rPr>
          <w:rFonts w:ascii="Calibri" w:hAnsi="Calibri" w:eastAsia="Calibri" w:cs="Calibri"/>
          <w:color w:val="111111"/>
          <w:sz w:val="22"/>
        </w:rPr>
        <w:t>Economic skill: positive net expectancy after conservative spread, slippage, fees, and latency, with block-bootstrap lower confidence bound above zero for promoted strategies.</w:t>
      </w:r>
    </w:p>
    <w:p>
      <w:pPr>
        <w:keepLines/>
        <w:numPr>
          <w:ilvl w:val="0"/>
          <w:numId w:val="13"/>
        </w:numPr>
        <w:spacing w:after="80" w:line="300" w:lineRule="auto"/>
      </w:pPr>
      <w:r>
        <w:rPr>
          <w:rFonts w:ascii="Calibri" w:hAnsi="Calibri" w:eastAsia="Calibri" w:cs="Calibri"/>
          <w:color w:val="111111"/>
          <w:sz w:val="22"/>
        </w:rPr>
        <w:t>Calibration: reliable probability bins and interval coverage within pre-declared tolerances by horizon and regime.</w:t>
      </w:r>
    </w:p>
    <w:p>
      <w:pPr>
        <w:keepLines/>
        <w:numPr>
          <w:ilvl w:val="0"/>
          <w:numId w:val="13"/>
        </w:numPr>
        <w:spacing w:after="80" w:line="300" w:lineRule="auto"/>
      </w:pPr>
      <w:r>
        <w:rPr>
          <w:rFonts w:ascii="Calibri" w:hAnsi="Calibri" w:eastAsia="Calibri" w:cs="Calibri"/>
          <w:color w:val="111111"/>
          <w:sz w:val="22"/>
        </w:rPr>
        <w:t>Operational validity: data completeness, exact cutoffs, p95 publication latency &lt;=5 seconds, deterministic replay, and zero silent fallbacks.</w:t>
      </w:r>
    </w:p>
    <w:p>
      <w:pPr>
        <w:keepLines/>
        <w:numPr>
          <w:ilvl w:val="0"/>
          <w:numId w:val="13"/>
        </w:numPr>
        <w:spacing w:after="80" w:line="300" w:lineRule="auto"/>
      </w:pPr>
      <w:r>
        <w:rPr>
          <w:rFonts w:ascii="Calibri" w:hAnsi="Calibri" w:eastAsia="Calibri" w:cs="Calibri"/>
          <w:color w:val="111111"/>
          <w:sz w:val="22"/>
        </w:rPr>
        <w:t>Decision quality: useful abstention - the system must reduce false confidence without shrinking to an untestable two-trade sample.</w:t>
      </w:r>
    </w:p>
    <w:p>
      <w:pPr>
        <w:pStyle w:val="Heading1"/>
        <w:keepNext/>
      </w:pPr>
      <w:r>
        <w:t>4. Forecast Contract</w:t>
      </w:r>
    </w:p>
    <w:p>
      <w:pPr>
        <w:pStyle w:val="Heading2"/>
        <w:keepNext/>
      </w:pPr>
      <w:r>
        <w:t>4.1 Universe and horizons</w:t>
      </w:r>
    </w:p>
    <w:p>
      <w:pPr>
        <w:spacing w:after="120" w:line="300" w:lineRule="auto"/>
      </w:pPr>
      <w:r>
        <w:rPr>
          <w:rFonts w:ascii="Calibri" w:hAnsi="Calibri" w:eastAsia="Calibri" w:cs="Calibri"/>
          <w:i w:val="0"/>
          <w:color w:val="111111"/>
          <w:sz w:val="22"/>
        </w:rPr>
        <w:t>Phase 1 prioritizes SPY/SPX market direction and the existing liquid stock/ETF universe. The canonical production process supports a configurable 14-symbol set, but every symbol must have its own eligibility, liquidity, and data-readiness status. Official horizons remain 5, 15, 30, and 60 minutes.</w:t>
      </w:r>
    </w:p>
    <w:tbl>
      <w:tblPr>
        <w:tblW w:type="dxa" w:w="9360"/>
        <w:tblLayout w:type="fixed"/>
        <w:tblLook w:firstColumn="1" w:firstRow="1" w:lastColumn="0" w:lastRow="0" w:noHBand="0" w:noVBand="1" w:val="04A0"/>
        <w:jc w:val="left"/>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900"/>
        <w:gridCol w:w="3900"/>
        <w:gridCol w:w="3560"/>
      </w:tblGrid>
      <w:tr>
        <w:trPr>
          <w:tblHeader w:val="true"/>
        </w:trPr>
        <w:tc>
          <w:tcPr>
            <w:tcW w:type="dxa" w:w="1900"/>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7"/>
              </w:rPr>
              <w:t>Forecast family</w:t>
            </w:r>
          </w:p>
        </w:tc>
        <w:tc>
          <w:tcPr>
            <w:tcW w:type="dxa" w:w="3900"/>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7"/>
              </w:rPr>
              <w:t>Target</w:t>
            </w:r>
          </w:p>
        </w:tc>
        <w:tc>
          <w:tcPr>
            <w:tcW w:type="dxa" w:w="3560"/>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7"/>
              </w:rPr>
              <w:t>Output</w:t>
            </w:r>
          </w:p>
        </w:tc>
      </w:tr>
      <w:tr>
        <w:tc>
          <w:tcPr>
            <w:tcW w:type="dxa" w:w="19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Return distribution</w:t>
            </w:r>
          </w:p>
        </w:tc>
        <w:tc>
          <w:tcPr>
            <w:tcW w:type="dxa" w:w="39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Log return from finalized cutoff t to t+h</w:t>
            </w:r>
          </w:p>
        </w:tc>
        <w:tc>
          <w:tcPr>
            <w:tcW w:type="dxa" w:w="356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Mean, median, quantiles, conformal interval</w:t>
            </w:r>
          </w:p>
        </w:tc>
      </w:tr>
      <w:tr>
        <w:tc>
          <w:tcPr>
            <w:tcW w:type="dxa" w:w="19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Cost-aware direction</w:t>
            </w:r>
          </w:p>
        </w:tc>
        <w:tc>
          <w:tcPr>
            <w:tcW w:type="dxa" w:w="39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r(t,t+h) - estimated round-trip cost &gt; 0</w:t>
            </w:r>
          </w:p>
        </w:tc>
        <w:tc>
          <w:tcPr>
            <w:tcW w:type="dxa" w:w="356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P(up after cost), P(down after cost), neutral</w:t>
            </w:r>
          </w:p>
        </w:tc>
      </w:tr>
      <w:tr>
        <w:tc>
          <w:tcPr>
            <w:tcW w:type="dxa" w:w="19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Trend continuation</w:t>
            </w:r>
          </w:p>
        </w:tc>
        <w:tc>
          <w:tcPr>
            <w:tcW w:type="dxa" w:w="39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Continuation beyond volatility-scaled threshold</w:t>
            </w:r>
          </w:p>
        </w:tc>
        <w:tc>
          <w:tcPr>
            <w:tcW w:type="dxa" w:w="356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Probability and trend strength</w:t>
            </w:r>
          </w:p>
        </w:tc>
      </w:tr>
      <w:tr>
        <w:tc>
          <w:tcPr>
            <w:tcW w:type="dxa" w:w="19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VWAP reversal hazard</w:t>
            </w:r>
          </w:p>
        </w:tc>
        <w:tc>
          <w:tcPr>
            <w:tcW w:type="dxa" w:w="39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Cross/reversion within 1/3/6 completed bars</w:t>
            </w:r>
          </w:p>
        </w:tc>
        <w:tc>
          <w:tcPr>
            <w:tcW w:type="dxa" w:w="356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Hazard probability and expected time</w:t>
            </w:r>
          </w:p>
        </w:tc>
      </w:tr>
      <w:tr>
        <w:tc>
          <w:tcPr>
            <w:tcW w:type="dxa" w:w="19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Volatility expansion</w:t>
            </w:r>
          </w:p>
        </w:tc>
        <w:tc>
          <w:tcPr>
            <w:tcW w:type="dxa" w:w="39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Future realized volatility exceeds state threshold</w:t>
            </w:r>
          </w:p>
        </w:tc>
        <w:tc>
          <w:tcPr>
            <w:tcW w:type="dxa" w:w="356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Expansion probability and quantiles</w:t>
            </w:r>
          </w:p>
        </w:tc>
      </w:tr>
      <w:tr>
        <w:tc>
          <w:tcPr>
            <w:tcW w:type="dxa" w:w="19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Tail/path risk</w:t>
            </w:r>
          </w:p>
        </w:tc>
        <w:tc>
          <w:tcPr>
            <w:tcW w:type="dxa" w:w="39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Barrier hit before horizon</w:t>
            </w:r>
          </w:p>
        </w:tc>
        <w:tc>
          <w:tcPr>
            <w:tcW w:type="dxa" w:w="356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Up/down barrier probability, maximum excursion</w:t>
            </w:r>
          </w:p>
        </w:tc>
      </w:tr>
    </w:tbl>
    <w:p>
      <w:pPr>
        <w:spacing w:after="40"/>
      </w:pPr>
    </w:p>
    <w:p>
      <w:pPr>
        <w:pStyle w:val="Heading2"/>
        <w:keepNext/>
      </w:pPr>
      <w:r>
        <w:t>4.2 Label definition</w:t>
      </w:r>
    </w:p>
    <w:p>
      <w:pPr>
        <w:spacing w:before="60" w:after="160" w:line="240" w:lineRule="auto"/>
        <w:ind w:left="115" w:right="115"/>
        <w:shd w:fill="F7F8FA"/>
        <w:pBdr>
          <w:top w:val="single" w:sz="4" w:space="6" w:color="D7DBE2"/>
          <w:left w:val="single" w:sz="4" w:space="6" w:color="D7DBE2"/>
          <w:bottom w:val="single" w:sz="4" w:space="6" w:color="D7DBE2"/>
          <w:right w:val="single" w:sz="4" w:space="6" w:color="D7DBE2"/>
        </w:pBdr>
      </w:pPr>
      <w:r>
        <w:rPr>
          <w:rFonts w:ascii="DejaVu Sans Mono" w:hAnsi="DejaVu Sans Mono" w:eastAsia="DejaVu Sans Mono" w:cs="DejaVu Sans Mono"/>
          <w:color w:val="27313D"/>
          <w:sz w:val="16"/>
        </w:rPr>
        <w:t>For symbol s and horizon h:</w:t>
        <w:br/>
        <w:t xml:space="preserve">  r = log(mid_or_reference_price[t+h] / mid_or_reference_price[t])</w:t>
        <w:br/>
        <w:t xml:space="preserve">  cost = half_spread_entry + half_spread_exit + slippage_model + fees + latency_penalty</w:t>
        <w:br/>
        <w:t xml:space="preserve">  threshold = cost + k_h * ex_ante_volatility[t]</w:t>
        <w:br/>
        <w:t xml:space="preserve">  y = +1 if r &gt; threshold; y = -1 if r &lt; -threshold; otherwise y = 0</w:t>
        <w:br/>
        <w:br/>
        <w:t>All prices and features must be observable at cutoff t. Overlapping labels require purge/embargo.</w:t>
      </w:r>
    </w:p>
    <w:p>
      <w:pPr>
        <w:pStyle w:val="Heading2"/>
        <w:keepNext/>
      </w:pPr>
      <w:r>
        <w:t>4.3 EvidenceEnvelope schema</w:t>
      </w:r>
    </w:p>
    <w:p>
      <w:pPr>
        <w:spacing w:before="60" w:after="160" w:line="240" w:lineRule="auto"/>
        <w:ind w:left="115" w:right="115"/>
        <w:shd w:fill="F7F8FA"/>
        <w:pBdr>
          <w:top w:val="single" w:sz="4" w:space="6" w:color="D7DBE2"/>
          <w:left w:val="single" w:sz="4" w:space="6" w:color="D7DBE2"/>
          <w:bottom w:val="single" w:sz="4" w:space="6" w:color="D7DBE2"/>
          <w:right w:val="single" w:sz="4" w:space="6" w:color="D7DBE2"/>
        </w:pBdr>
      </w:pPr>
      <w:r>
        <w:rPr>
          <w:rFonts w:ascii="DejaVu Sans Mono" w:hAnsi="DejaVu Sans Mono" w:eastAsia="DejaVu Sans Mono" w:cs="DejaVu Sans Mono"/>
          <w:color w:val="27313D"/>
          <w:sz w:val="16"/>
        </w:rPr>
        <w:t>{</w:t>
        <w:br/>
        <w:t xml:space="preserve">  prediction_id, symbol, horizon, cutoff_ts, finalized_bar_ts, published_ts,</w:t>
        <w:br/>
        <w:t xml:space="preserve">  source_set, freshness_ms, coverage, data_quality_status,</w:t>
        <w:br/>
        <w:t xml:space="preserve">  regime_probabilities, regime_label, ood_score,</w:t>
        <w:br/>
        <w:t xml:space="preserve">  expected_return, return_quantiles, p_positive_after_cost,</w:t>
        <w:br/>
        <w:t xml:space="preserve">  interval_80, interval_90, calibration_status, cost_estimate,</w:t>
        <w:br/>
        <w:t xml:space="preserve">  analogue_effective_n, top_analogue_ids, feature_snapshot_hash,</w:t>
        <w:br/>
        <w:t xml:space="preserve">  model_version, calibration_version, policy_version,</w:t>
        <w:br/>
        <w:t xml:space="preserve">  decision_status, reason_codes, caveats</w:t>
        <w:br/>
        <w:t>}</w:t>
      </w:r>
    </w:p>
    <w:p>
      <w:pPr>
        <w:spacing w:before="60" w:after="160" w:line="276" w:lineRule="auto"/>
        <w:ind w:left="115" w:right="115"/>
        <w:shd w:fill="E8EEF5"/>
        <w:pBdr>
          <w:top w:val="single" w:sz="4" w:space="6" w:color="E8EEF5"/>
          <w:left w:val="single" w:sz="4" w:space="6" w:color="E8EEF5"/>
          <w:bottom w:val="single" w:sz="4" w:space="6" w:color="E8EEF5"/>
          <w:right w:val="single" w:sz="4" w:space="6" w:color="E8EEF5"/>
        </w:pBdr>
      </w:pPr>
      <w:r>
        <w:rPr>
          <w:rFonts w:ascii="Calibri" w:hAnsi="Calibri" w:eastAsia="Calibri" w:cs="Calibri"/>
          <w:b/>
          <w:color w:val="0B2545"/>
          <w:sz w:val="21"/>
        </w:rPr>
        <w:t xml:space="preserve">IMMUTABILITY  </w:t>
      </w:r>
      <w:r>
        <w:rPr>
          <w:rFonts w:ascii="Calibri" w:hAnsi="Calibri" w:eastAsia="Calibri" w:cs="Calibri"/>
          <w:color w:val="111111"/>
          <w:sz w:val="21"/>
        </w:rPr>
        <w:t>Once published, the envelope is append-only. Corrections create a new version linked to the original prediction; they never overwrite the historical record.</w:t>
      </w:r>
    </w:p>
    <w:p>
      <w:pPr>
        <w:pStyle w:val="Heading1"/>
        <w:keepNext/>
      </w:pPr>
      <w:r>
        <w:t>5. Data Platform Requirements</w:t>
      </w:r>
    </w:p>
    <w:p>
      <w:pPr>
        <w:pStyle w:val="Heading2"/>
        <w:keepNext/>
      </w:pPr>
      <w:r>
        <w:t>5.1 Source-of-truth matrix</w:t>
      </w:r>
    </w:p>
    <w:tbl>
      <w:tblPr>
        <w:tblW w:type="dxa" w:w="9360"/>
        <w:tblLayout w:type="fixed"/>
        <w:tblLook w:firstColumn="1" w:firstRow="1" w:lastColumn="0" w:lastRow="0" w:noHBand="0" w:noVBand="1" w:val="04A0"/>
        <w:jc w:val="left"/>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500"/>
        <w:gridCol w:w="2100"/>
        <w:gridCol w:w="3460"/>
        <w:gridCol w:w="2300"/>
      </w:tblGrid>
      <w:tr>
        <w:trPr>
          <w:tblHeader w:val="true"/>
        </w:trPr>
        <w:tc>
          <w:tcPr>
            <w:tcW w:type="dxa" w:w="1500"/>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6"/>
              </w:rPr>
              <w:t>Domain</w:t>
            </w:r>
          </w:p>
        </w:tc>
        <w:tc>
          <w:tcPr>
            <w:tcW w:type="dxa" w:w="2100"/>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6"/>
              </w:rPr>
              <w:t>Primary</w:t>
            </w:r>
          </w:p>
        </w:tc>
        <w:tc>
          <w:tcPr>
            <w:tcW w:type="dxa" w:w="3460"/>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6"/>
              </w:rPr>
              <w:t>Use</w:t>
            </w:r>
          </w:p>
        </w:tc>
        <w:tc>
          <w:tcPr>
            <w:tcW w:type="dxa" w:w="2300"/>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6"/>
              </w:rPr>
              <w:t>Policy</w:t>
            </w:r>
          </w:p>
        </w:tc>
      </w:tr>
      <w:tr>
        <w:tc>
          <w:tcPr>
            <w:tcW w:type="dxa" w:w="1500"/>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US equities/ETFs</w:t>
            </w:r>
          </w:p>
        </w:tc>
        <w:tc>
          <w:tcPr>
            <w:tcW w:type="dxa" w:w="2100"/>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Databento EQUS.MINI</w:t>
            </w:r>
          </w:p>
        </w:tc>
        <w:tc>
          <w:tcPr>
            <w:tcW w:type="dxa" w:w="3460"/>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Finalized 1-minute bars; quote/trade features where licensed</w:t>
            </w:r>
          </w:p>
        </w:tc>
        <w:tc>
          <w:tcPr>
            <w:tcW w:type="dxa" w:w="2300"/>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Production DATABENTO_ONLY; no silent fallback</w:t>
            </w:r>
          </w:p>
        </w:tc>
      </w:tr>
      <w:tr>
        <w:tc>
          <w:tcPr>
            <w:tcW w:type="dxa" w:w="15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SPX/SPXW options</w:t>
            </w:r>
          </w:p>
        </w:tc>
        <w:tc>
          <w:tcPr>
            <w:tcW w:type="dxa" w:w="21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Databento OPRA.PILLAR / Cboe quote intervals</w:t>
            </w:r>
          </w:p>
        </w:tc>
        <w:tc>
          <w:tcPr>
            <w:tcW w:type="dxa" w:w="346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NBBO, IV, Greeks, OI, surface and flow research</w:t>
            </w:r>
          </w:p>
        </w:tc>
        <w:tc>
          <w:tcPr>
            <w:tcW w:type="dxa" w:w="23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Timestamp and vendor semantics versioned</w:t>
            </w:r>
          </w:p>
        </w:tc>
      </w:tr>
      <w:tr>
        <w:tc>
          <w:tcPr>
            <w:tcW w:type="dxa" w:w="1500"/>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Index futures</w:t>
            </w:r>
          </w:p>
        </w:tc>
        <w:tc>
          <w:tcPr>
            <w:tcW w:type="dxa" w:w="2100"/>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Databento GLBX.MDP3</w:t>
            </w:r>
          </w:p>
        </w:tc>
        <w:tc>
          <w:tcPr>
            <w:tcW w:type="dxa" w:w="3460"/>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ES/NQ lead-lag, overnight context, basis</w:t>
            </w:r>
          </w:p>
        </w:tc>
        <w:tc>
          <w:tcPr>
            <w:tcW w:type="dxa" w:w="2300"/>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Separate index-basis module</w:t>
            </w:r>
          </w:p>
        </w:tc>
      </w:tr>
      <w:tr>
        <w:tc>
          <w:tcPr>
            <w:tcW w:type="dxa" w:w="15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Owner validation</w:t>
            </w:r>
          </w:p>
        </w:tc>
        <w:tc>
          <w:tcPr>
            <w:tcW w:type="dxa" w:w="21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IBKR market data</w:t>
            </w:r>
          </w:p>
        </w:tc>
        <w:tc>
          <w:tcPr>
            <w:tcW w:type="dxa" w:w="346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Independent small-scope cross-check</w:t>
            </w:r>
          </w:p>
        </w:tc>
        <w:tc>
          <w:tcPr>
            <w:tcW w:type="dxa" w:w="23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Shadow only; never mixed invisibly</w:t>
            </w:r>
          </w:p>
        </w:tc>
      </w:tr>
      <w:tr>
        <w:tc>
          <w:tcPr>
            <w:tcW w:type="dxa" w:w="1500"/>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Owner directional shadow</w:t>
            </w:r>
          </w:p>
        </w:tc>
        <w:tc>
          <w:tcPr>
            <w:tcW w:type="dxa" w:w="2100"/>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Moomoo OpenD</w:t>
            </w:r>
          </w:p>
        </w:tc>
        <w:tc>
          <w:tcPr>
            <w:tcW w:type="dxa" w:w="3460"/>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Cross-check and capability tests</w:t>
            </w:r>
          </w:p>
        </w:tc>
        <w:tc>
          <w:tcPr>
            <w:tcW w:type="dxa" w:w="2300"/>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Local/owner only</w:t>
            </w:r>
          </w:p>
        </w:tc>
      </w:tr>
      <w:tr>
        <w:tc>
          <w:tcPr>
            <w:tcW w:type="dxa" w:w="15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Events/macro</w:t>
            </w:r>
          </w:p>
        </w:tc>
        <w:tc>
          <w:tcPr>
            <w:tcW w:type="dxa" w:w="21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Point-in-time calendar + releases</w:t>
            </w:r>
          </w:p>
        </w:tc>
        <w:tc>
          <w:tcPr>
            <w:tcW w:type="dxa" w:w="346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FOMC/CPI/earnings/event flags</w:t>
            </w:r>
          </w:p>
        </w:tc>
        <w:tc>
          <w:tcPr>
            <w:tcW w:type="dxa" w:w="23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Release time and revision lineage required</w:t>
            </w:r>
          </w:p>
        </w:tc>
      </w:tr>
    </w:tbl>
    <w:p>
      <w:pPr>
        <w:spacing w:after="40"/>
      </w:pPr>
    </w:p>
    <w:p>
      <w:pPr>
        <w:pStyle w:val="Heading2"/>
        <w:keepNext/>
      </w:pPr>
      <w:r>
        <w:t>5.2 Canonical event-time contract</w:t>
      </w:r>
    </w:p>
    <w:p>
      <w:pPr>
        <w:keepLines/>
        <w:numPr>
          <w:ilvl w:val="0"/>
          <w:numId w:val="14"/>
        </w:numPr>
        <w:spacing w:after="80" w:line="300" w:lineRule="auto"/>
      </w:pPr>
      <w:r>
        <w:rPr>
          <w:rFonts w:ascii="Calibri" w:hAnsi="Calibri" w:eastAsia="Calibri" w:cs="Calibri"/>
          <w:color w:val="111111"/>
          <w:sz w:val="22"/>
        </w:rPr>
        <w:t>Store exchange timestamp, receive timestamp, vendor timestamp, ingest timestamp, and finalized-bar timestamp separately.</w:t>
      </w:r>
    </w:p>
    <w:p>
      <w:pPr>
        <w:keepLines/>
        <w:numPr>
          <w:ilvl w:val="0"/>
          <w:numId w:val="14"/>
        </w:numPr>
        <w:spacing w:after="80" w:line="300" w:lineRule="auto"/>
      </w:pPr>
      <w:r>
        <w:rPr>
          <w:rFonts w:ascii="Calibri" w:hAnsi="Calibri" w:eastAsia="Calibri" w:cs="Calibri"/>
          <w:color w:val="111111"/>
          <w:sz w:val="22"/>
        </w:rPr>
        <w:t>Normalize to UTC internally; render America/New_York only at the product boundary. Respect daylight-saving transitions and market holidays.</w:t>
      </w:r>
    </w:p>
    <w:p>
      <w:pPr>
        <w:keepLines/>
        <w:numPr>
          <w:ilvl w:val="0"/>
          <w:numId w:val="14"/>
        </w:numPr>
        <w:spacing w:after="80" w:line="300" w:lineRule="auto"/>
      </w:pPr>
      <w:r>
        <w:rPr>
          <w:rFonts w:ascii="Calibri" w:hAnsi="Calibri" w:eastAsia="Calibri" w:cs="Calibri"/>
          <w:color w:val="111111"/>
          <w:sz w:val="22"/>
        </w:rPr>
        <w:t>A bar is eligible only after the configured finalization delay. Late events create a revision record but may not mutate an already-published feature snapshot.</w:t>
      </w:r>
    </w:p>
    <w:p>
      <w:pPr>
        <w:keepLines/>
        <w:numPr>
          <w:ilvl w:val="0"/>
          <w:numId w:val="14"/>
        </w:numPr>
        <w:spacing w:after="80" w:line="300" w:lineRule="auto"/>
      </w:pPr>
      <w:r>
        <w:rPr>
          <w:rFonts w:ascii="Calibri" w:hAnsi="Calibri" w:eastAsia="Calibri" w:cs="Calibri"/>
          <w:color w:val="111111"/>
          <w:sz w:val="22"/>
        </w:rPr>
        <w:t>Every dataset has a versioned schema, unit, adjustment policy, session calendar, and symbol-mapping history.</w:t>
      </w:r>
    </w:p>
    <w:p>
      <w:pPr>
        <w:keepLines/>
        <w:numPr>
          <w:ilvl w:val="0"/>
          <w:numId w:val="14"/>
        </w:numPr>
        <w:spacing w:after="80" w:line="300" w:lineRule="auto"/>
      </w:pPr>
      <w:r>
        <w:rPr>
          <w:rFonts w:ascii="Calibri" w:hAnsi="Calibri" w:eastAsia="Calibri" w:cs="Calibri"/>
          <w:color w:val="111111"/>
          <w:sz w:val="22"/>
        </w:rPr>
        <w:t>Corporate actions and index constituents are point-in-time. Historical tests may not use today's adjusted universe as if it existed historically.</w:t>
      </w:r>
    </w:p>
    <w:p>
      <w:pPr>
        <w:pStyle w:val="Heading2"/>
        <w:keepNext/>
      </w:pPr>
      <w:r>
        <w:t>5.3 Data quality gates</w:t>
      </w:r>
    </w:p>
    <w:tbl>
      <w:tblPr>
        <w:tblW w:type="dxa" w:w="9360"/>
        <w:tblLayout w:type="fixed"/>
        <w:tblLook w:firstColumn="1" w:firstRow="1" w:lastColumn="0" w:lastRow="0" w:noHBand="0" w:noVBand="1" w:val="04A0"/>
        <w:jc w:val="left"/>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100"/>
        <w:gridCol w:w="5860"/>
        <w:gridCol w:w="2400"/>
      </w:tblGrid>
      <w:tr>
        <w:trPr>
          <w:tblHeader w:val="true"/>
        </w:trPr>
        <w:tc>
          <w:tcPr>
            <w:tcW w:type="dxa" w:w="1100"/>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7"/>
              </w:rPr>
              <w:t>Gate ID</w:t>
            </w:r>
          </w:p>
        </w:tc>
        <w:tc>
          <w:tcPr>
            <w:tcW w:type="dxa" w:w="5860"/>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7"/>
              </w:rPr>
              <w:t>Requirement</w:t>
            </w:r>
          </w:p>
        </w:tc>
        <w:tc>
          <w:tcPr>
            <w:tcW w:type="dxa" w:w="2400"/>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7"/>
              </w:rPr>
              <w:t>Fail action</w:t>
            </w:r>
          </w:p>
        </w:tc>
      </w:tr>
      <w:tr>
        <w:tc>
          <w:tcPr>
            <w:tcW w:type="dxa" w:w="11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DQ-01</w:t>
            </w:r>
          </w:p>
        </w:tc>
        <w:tc>
          <w:tcPr>
            <w:tcW w:type="dxa" w:w="586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Exact contiguous context through cutoff; no forward-fill across missing market intervals</w:t>
            </w:r>
          </w:p>
        </w:tc>
        <w:tc>
          <w:tcPr>
            <w:tcW w:type="dxa" w:w="24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WITHHOLD</w:t>
            </w:r>
          </w:p>
        </w:tc>
      </w:tr>
      <w:tr>
        <w:tc>
          <w:tcPr>
            <w:tcW w:type="dxa" w:w="11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DQ-02</w:t>
            </w:r>
          </w:p>
        </w:tc>
        <w:tc>
          <w:tcPr>
            <w:tcW w:type="dxa" w:w="586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Source freshness inside symbol/session SLA</w:t>
            </w:r>
          </w:p>
        </w:tc>
        <w:tc>
          <w:tcPr>
            <w:tcW w:type="dxa" w:w="24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WITHHOLD + alert</w:t>
            </w:r>
          </w:p>
        </w:tc>
      </w:tr>
      <w:tr>
        <w:tc>
          <w:tcPr>
            <w:tcW w:type="dxa" w:w="11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DQ-03</w:t>
            </w:r>
          </w:p>
        </w:tc>
        <w:tc>
          <w:tcPr>
            <w:tcW w:type="dxa" w:w="586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No duplicate sequence, timestamp reversal, crossed/invalid quote beyond tolerance</w:t>
            </w:r>
          </w:p>
        </w:tc>
        <w:tc>
          <w:tcPr>
            <w:tcW w:type="dxa" w:w="24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Quarantine event</w:t>
            </w:r>
          </w:p>
        </w:tc>
      </w:tr>
      <w:tr>
        <w:tc>
          <w:tcPr>
            <w:tcW w:type="dxa" w:w="11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DQ-04</w:t>
            </w:r>
          </w:p>
        </w:tc>
        <w:tc>
          <w:tcPr>
            <w:tcW w:type="dxa" w:w="586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Session/calendar and corporate-action mapping valid</w:t>
            </w:r>
          </w:p>
        </w:tc>
        <w:tc>
          <w:tcPr>
            <w:tcW w:type="dxa" w:w="24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WITHHOLD</w:t>
            </w:r>
          </w:p>
        </w:tc>
      </w:tr>
      <w:tr>
        <w:tc>
          <w:tcPr>
            <w:tcW w:type="dxa" w:w="11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DQ-05</w:t>
            </w:r>
          </w:p>
        </w:tc>
        <w:tc>
          <w:tcPr>
            <w:tcW w:type="dxa" w:w="586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Feature snapshot hash reproducible from raw event manifest</w:t>
            </w:r>
          </w:p>
        </w:tc>
        <w:tc>
          <w:tcPr>
            <w:tcW w:type="dxa" w:w="24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Block promotion</w:t>
            </w:r>
          </w:p>
        </w:tc>
      </w:tr>
      <w:tr>
        <w:tc>
          <w:tcPr>
            <w:tcW w:type="dxa" w:w="11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DQ-06</w:t>
            </w:r>
          </w:p>
        </w:tc>
        <w:tc>
          <w:tcPr>
            <w:tcW w:type="dxa" w:w="586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Coverage and late-event rates recorded by feature family</w:t>
            </w:r>
          </w:p>
        </w:tc>
        <w:tc>
          <w:tcPr>
            <w:tcW w:type="dxa" w:w="24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Degrade or WITHHOLD</w:t>
            </w:r>
          </w:p>
        </w:tc>
      </w:tr>
    </w:tbl>
    <w:p>
      <w:pPr>
        <w:spacing w:after="40"/>
      </w:pPr>
    </w:p>
    <w:p>
      <w:pPr>
        <w:pStyle w:val="Heading1"/>
        <w:keepNext/>
      </w:pPr>
      <w:r>
        <w:t>6. Causal Feature System</w:t>
      </w:r>
    </w:p>
    <w:p>
      <w:pPr>
        <w:spacing w:after="120" w:line="300" w:lineRule="auto"/>
      </w:pPr>
      <w:r>
        <w:rPr>
          <w:rFonts w:ascii="Calibri" w:hAnsi="Calibri" w:eastAsia="Calibri" w:cs="Calibri"/>
          <w:i w:val="0"/>
          <w:color w:val="111111"/>
          <w:sz w:val="22"/>
        </w:rPr>
        <w:t>Features are organized into independently testable families. Every feature includes availability timestamp, lookback, missingness semantics, normalization window, and leakage test. Feature selection is driven by incremental OOS skill, not by visual plausibility.</w:t>
      </w:r>
    </w:p>
    <w:tbl>
      <w:tblPr>
        <w:tblW w:type="dxa" w:w="9360"/>
        <w:tblLayout w:type="fixed"/>
        <w:tblLook w:firstColumn="1" w:firstRow="1" w:lastColumn="0" w:lastRow="0" w:noHBand="0" w:noVBand="1" w:val="04A0"/>
        <w:jc w:val="left"/>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500"/>
        <w:gridCol w:w="5200"/>
        <w:gridCol w:w="2660"/>
      </w:tblGrid>
      <w:tr>
        <w:trPr>
          <w:tblHeader w:val="true"/>
        </w:trPr>
        <w:tc>
          <w:tcPr>
            <w:tcW w:type="dxa" w:w="1500"/>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6"/>
              </w:rPr>
              <w:t>Family</w:t>
            </w:r>
          </w:p>
        </w:tc>
        <w:tc>
          <w:tcPr>
            <w:tcW w:type="dxa" w:w="5200"/>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6"/>
              </w:rPr>
              <w:t>Required examples</w:t>
            </w:r>
          </w:p>
        </w:tc>
        <w:tc>
          <w:tcPr>
            <w:tcW w:type="dxa" w:w="2660"/>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6"/>
              </w:rPr>
              <w:t>Primary question</w:t>
            </w:r>
          </w:p>
        </w:tc>
      </w:tr>
      <w:tr>
        <w:tc>
          <w:tcPr>
            <w:tcW w:type="dxa" w:w="1500"/>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Price/state</w:t>
            </w:r>
          </w:p>
        </w:tc>
        <w:tc>
          <w:tcPr>
            <w:tcW w:type="dxa" w:w="5200"/>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Returns, gaps, VWAP distance, range position, multi-timescale momentum, realized volatility</w:t>
            </w:r>
          </w:p>
        </w:tc>
        <w:tc>
          <w:tcPr>
            <w:tcW w:type="dxa" w:w="2660"/>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What state is price in?</w:t>
            </w:r>
          </w:p>
        </w:tc>
      </w:tr>
      <w:tr>
        <w:tc>
          <w:tcPr>
            <w:tcW w:type="dxa" w:w="15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Microstructure</w:t>
            </w:r>
          </w:p>
        </w:tc>
        <w:tc>
          <w:tcPr>
            <w:tcW w:type="dxa" w:w="52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Quote/trade OFI, spread, depth imbalance, microprice, trade intensity, signed volume</w:t>
            </w:r>
          </w:p>
        </w:tc>
        <w:tc>
          <w:tcPr>
            <w:tcW w:type="dxa" w:w="266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Who is applying immediate pressure?</w:t>
            </w:r>
          </w:p>
        </w:tc>
      </w:tr>
      <w:tr>
        <w:tc>
          <w:tcPr>
            <w:tcW w:type="dxa" w:w="1500"/>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Liquidity</w:t>
            </w:r>
          </w:p>
        </w:tc>
        <w:tc>
          <w:tcPr>
            <w:tcW w:type="dxa" w:w="5200"/>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Relative volume, depth, spread percentile, Amihud-like impact, auction imbalance where available</w:t>
            </w:r>
          </w:p>
        </w:tc>
        <w:tc>
          <w:tcPr>
            <w:tcW w:type="dxa" w:w="2660"/>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Can an apparent edge survive execution?</w:t>
            </w:r>
          </w:p>
        </w:tc>
      </w:tr>
      <w:tr>
        <w:tc>
          <w:tcPr>
            <w:tcW w:type="dxa" w:w="15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Options/vol</w:t>
            </w:r>
          </w:p>
        </w:tc>
        <w:tc>
          <w:tcPr>
            <w:tcW w:type="dxa" w:w="52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IV term structure, skew and delta-skew, put/call structure, OI changes, gamma concentration</w:t>
            </w:r>
          </w:p>
        </w:tc>
        <w:tc>
          <w:tcPr>
            <w:tcW w:type="dxa" w:w="266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How is convexity/hedging pressure configured?</w:t>
            </w:r>
          </w:p>
        </w:tc>
      </w:tr>
      <w:tr>
        <w:tc>
          <w:tcPr>
            <w:tcW w:type="dxa" w:w="1500"/>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Cross-asset</w:t>
            </w:r>
          </w:p>
        </w:tc>
        <w:tc>
          <w:tcPr>
            <w:tcW w:type="dxa" w:w="5200"/>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ES/NQ lead-lag, rates, dollar, oil, VIX term structure, sector/breadth ratios</w:t>
            </w:r>
          </w:p>
        </w:tc>
        <w:tc>
          <w:tcPr>
            <w:tcW w:type="dxa" w:w="2660"/>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Is the move confirmed across markets?</w:t>
            </w:r>
          </w:p>
        </w:tc>
      </w:tr>
      <w:tr>
        <w:tc>
          <w:tcPr>
            <w:tcW w:type="dxa" w:w="15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Event/calendar</w:t>
            </w:r>
          </w:p>
        </w:tc>
        <w:tc>
          <w:tcPr>
            <w:tcW w:type="dxa" w:w="52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Open/close bucket, OPEX, FOMC/CPI, earnings, rebalance, holiday/half-day</w:t>
            </w:r>
          </w:p>
        </w:tc>
        <w:tc>
          <w:tcPr>
            <w:tcW w:type="dxa" w:w="266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Is this a special conditional distribution?</w:t>
            </w:r>
          </w:p>
        </w:tc>
      </w:tr>
      <w:tr>
        <w:tc>
          <w:tcPr>
            <w:tcW w:type="dxa" w:w="1500"/>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Memory/motif</w:t>
            </w:r>
          </w:p>
        </w:tc>
        <w:tc>
          <w:tcPr>
            <w:tcW w:type="dxa" w:w="5200"/>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Snapshot embeddings, anomaly score, event/reaction atlas, analogue dispersion</w:t>
            </w:r>
          </w:p>
        </w:tc>
        <w:tc>
          <w:tcPr>
            <w:tcW w:type="dxa" w:w="2660"/>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Has a comparable state occurred before?</w:t>
            </w:r>
          </w:p>
        </w:tc>
      </w:tr>
    </w:tbl>
    <w:p>
      <w:pPr>
        <w:spacing w:after="40"/>
      </w:pPr>
    </w:p>
    <w:p>
      <w:pPr>
        <w:spacing w:before="60" w:after="160" w:line="276" w:lineRule="auto"/>
        <w:ind w:left="115" w:right="115"/>
        <w:shd w:fill="FFF6DD"/>
        <w:pBdr>
          <w:top w:val="single" w:sz="4" w:space="6" w:color="FFF6DD"/>
          <w:left w:val="single" w:sz="4" w:space="6" w:color="FFF6DD"/>
          <w:bottom w:val="single" w:sz="4" w:space="6" w:color="FFF6DD"/>
          <w:right w:val="single" w:sz="4" w:space="6" w:color="FFF6DD"/>
        </w:pBdr>
      </w:pPr>
      <w:r>
        <w:rPr>
          <w:rFonts w:ascii="Calibri" w:hAnsi="Calibri" w:eastAsia="Calibri" w:cs="Calibri"/>
          <w:b/>
          <w:color w:val="7A5A00"/>
          <w:sz w:val="21"/>
        </w:rPr>
        <w:t xml:space="preserve">GEX INTERPRETATION  </w:t>
      </w:r>
      <w:r>
        <w:rPr>
          <w:rFonts w:ascii="Calibri" w:hAnsi="Calibri" w:eastAsia="Calibri" w:cs="Calibri"/>
          <w:color w:val="111111"/>
          <w:sz w:val="21"/>
        </w:rPr>
        <w:t>Gamma exposure is a latent positioning proxy derived from incomplete assumptions, not observed dealer inventory. The UI and model must label it as estimated structure and test its incremental value against options-free baselines.</w:t>
      </w:r>
    </w:p>
    <w:p>
      <w:pPr>
        <w:pStyle w:val="Heading2"/>
        <w:keepNext/>
      </w:pPr>
      <w:r>
        <w:t>6.1 Feature-store invariants</w:t>
      </w:r>
    </w:p>
    <w:p>
      <w:pPr>
        <w:keepLines/>
        <w:numPr>
          <w:ilvl w:val="0"/>
          <w:numId w:val="15"/>
        </w:numPr>
        <w:spacing w:after="80" w:line="300" w:lineRule="auto"/>
      </w:pPr>
      <w:r>
        <w:rPr>
          <w:rFonts w:ascii="Calibri" w:hAnsi="Calibri" w:eastAsia="Calibri" w:cs="Calibri"/>
          <w:color w:val="111111"/>
          <w:sz w:val="22"/>
        </w:rPr>
        <w:t>One causal FeatureSnapshot per symbol and cutoff; append-only and content-addressed.</w:t>
      </w:r>
    </w:p>
    <w:p>
      <w:pPr>
        <w:keepLines/>
        <w:numPr>
          <w:ilvl w:val="0"/>
          <w:numId w:val="15"/>
        </w:numPr>
        <w:spacing w:after="80" w:line="300" w:lineRule="auto"/>
      </w:pPr>
      <w:r>
        <w:rPr>
          <w:rFonts w:ascii="Calibri" w:hAnsi="Calibri" w:eastAsia="Calibri" w:cs="Calibri"/>
          <w:color w:val="111111"/>
          <w:sz w:val="22"/>
        </w:rPr>
        <w:t>Online and offline feature code must share the same Rust or generated specification; training-serving skew is a release blocker.</w:t>
      </w:r>
    </w:p>
    <w:p>
      <w:pPr>
        <w:keepLines/>
        <w:numPr>
          <w:ilvl w:val="0"/>
          <w:numId w:val="15"/>
        </w:numPr>
        <w:spacing w:after="80" w:line="300" w:lineRule="auto"/>
      </w:pPr>
      <w:r>
        <w:rPr>
          <w:rFonts w:ascii="Calibri" w:hAnsi="Calibri" w:eastAsia="Calibri" w:cs="Calibri"/>
          <w:color w:val="111111"/>
          <w:sz w:val="22"/>
        </w:rPr>
        <w:t>Rolling normalization is fit only on information available before the cutoff and frozen for live inference.</w:t>
      </w:r>
    </w:p>
    <w:p>
      <w:pPr>
        <w:keepLines/>
        <w:numPr>
          <w:ilvl w:val="0"/>
          <w:numId w:val="15"/>
        </w:numPr>
        <w:spacing w:after="80" w:line="300" w:lineRule="auto"/>
      </w:pPr>
      <w:r>
        <w:rPr>
          <w:rFonts w:ascii="Calibri" w:hAnsi="Calibri" w:eastAsia="Calibri" w:cs="Calibri"/>
          <w:color w:val="111111"/>
          <w:sz w:val="22"/>
        </w:rPr>
        <w:t>Missing values carry reason codes; zero, stale, unavailable, and not-applicable are different states.</w:t>
      </w:r>
    </w:p>
    <w:p>
      <w:pPr>
        <w:keepLines/>
        <w:numPr>
          <w:ilvl w:val="0"/>
          <w:numId w:val="15"/>
        </w:numPr>
        <w:spacing w:after="80" w:line="300" w:lineRule="auto"/>
      </w:pPr>
      <w:r>
        <w:rPr>
          <w:rFonts w:ascii="Calibri" w:hAnsi="Calibri" w:eastAsia="Calibri" w:cs="Calibri"/>
          <w:color w:val="111111"/>
          <w:sz w:val="22"/>
        </w:rPr>
        <w:t>Feature drift, population stability, range violations, and missingness shifts are monitored by symbol/horizon/session bucket.</w:t>
      </w:r>
    </w:p>
    <w:p>
      <w:pPr>
        <w:pStyle w:val="Heading1"/>
        <w:keepNext/>
      </w:pPr>
      <w:r>
        <w:t>7. Model Architecture</w:t>
      </w:r>
    </w:p>
    <w:p>
      <w:pPr>
        <w:pStyle w:val="Heading2"/>
        <w:keepNext/>
      </w:pPr>
      <w:r>
        <w:t>7.1 Deterministic production pipeline</w:t>
      </w:r>
    </w:p>
    <w:tbl>
      <w:tblPr>
        <w:tblW w:type="dxa" w:w="9360"/>
        <w:tblLayout w:type="fixed"/>
        <w:tblLook w:firstColumn="1" w:firstRow="1" w:lastColumn="0" w:lastRow="0" w:noHBand="0" w:noVBand="1" w:val="04A0"/>
        <w:jc w:val="left"/>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200"/>
        <w:gridCol w:w="5250"/>
        <w:gridCol w:w="2910"/>
      </w:tblGrid>
      <w:tr>
        <w:trPr>
          <w:tblHeader w:val="true"/>
        </w:trPr>
        <w:tc>
          <w:tcPr>
            <w:tcW w:type="dxa" w:w="1200"/>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7"/>
              </w:rPr>
              <w:t>Stage</w:t>
            </w:r>
          </w:p>
        </w:tc>
        <w:tc>
          <w:tcPr>
            <w:tcW w:type="dxa" w:w="5250"/>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7"/>
              </w:rPr>
              <w:t>Production responsibility</w:t>
            </w:r>
          </w:p>
        </w:tc>
        <w:tc>
          <w:tcPr>
            <w:tcW w:type="dxa" w:w="2910"/>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7"/>
              </w:rPr>
              <w:t>Technology boundary</w:t>
            </w:r>
          </w:p>
        </w:tc>
      </w:tr>
      <w:tr>
        <w:tc>
          <w:tcPr>
            <w:tcW w:type="dxa" w:w="12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1. Ingest</w:t>
            </w:r>
          </w:p>
        </w:tc>
        <w:tc>
          <w:tcPr>
            <w:tcW w:type="dxa" w:w="525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Validate and finalize point-in-time observations</w:t>
            </w:r>
          </w:p>
        </w:tc>
        <w:tc>
          <w:tcPr>
            <w:tcW w:type="dxa" w:w="291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Rust adapters; C++ only for decoder/hotspots</w:t>
            </w:r>
          </w:p>
        </w:tc>
      </w:tr>
      <w:tr>
        <w:tc>
          <w:tcPr>
            <w:tcW w:type="dxa" w:w="12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2. Snapshot</w:t>
            </w:r>
          </w:p>
        </w:tc>
        <w:tc>
          <w:tcPr>
            <w:tcW w:type="dxa" w:w="525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Build causal, versioned FeatureSnapshot</w:t>
            </w:r>
          </w:p>
        </w:tc>
        <w:tc>
          <w:tcPr>
            <w:tcW w:type="dxa" w:w="291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Rust contract</w:t>
            </w:r>
          </w:p>
        </w:tc>
      </w:tr>
      <w:tr>
        <w:tc>
          <w:tcPr>
            <w:tcW w:type="dxa" w:w="12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3. Context</w:t>
            </w:r>
          </w:p>
        </w:tc>
        <w:tc>
          <w:tcPr>
            <w:tcW w:type="dxa" w:w="525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Forward-filter HMM posterior probabilities</w:t>
            </w:r>
          </w:p>
        </w:tc>
        <w:tc>
          <w:tcPr>
            <w:tcW w:type="dxa" w:w="291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Rust inference</w:t>
            </w:r>
          </w:p>
        </w:tc>
      </w:tr>
      <w:tr>
        <w:tc>
          <w:tcPr>
            <w:tcW w:type="dxa" w:w="12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4. Analogue</w:t>
            </w:r>
          </w:p>
        </w:tc>
        <w:tc>
          <w:tcPr>
            <w:tcW w:type="dxa" w:w="525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Soft regime-compatible kernel and weighted empirical distribution</w:t>
            </w:r>
          </w:p>
        </w:tc>
        <w:tc>
          <w:tcPr>
            <w:tcW w:type="dxa" w:w="291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Rust inference</w:t>
            </w:r>
          </w:p>
        </w:tc>
      </w:tr>
      <w:tr>
        <w:tc>
          <w:tcPr>
            <w:tcW w:type="dxa" w:w="12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5. Ensemble</w:t>
            </w:r>
          </w:p>
        </w:tc>
        <w:tc>
          <w:tcPr>
            <w:tcW w:type="dxa" w:w="525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Combine eligible weak models with frozen OOF weights</w:t>
            </w:r>
          </w:p>
        </w:tc>
        <w:tc>
          <w:tcPr>
            <w:tcW w:type="dxa" w:w="291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Rust inference</w:t>
            </w:r>
          </w:p>
        </w:tc>
      </w:tr>
      <w:tr>
        <w:tc>
          <w:tcPr>
            <w:tcW w:type="dxa" w:w="12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6. Calibrate</w:t>
            </w:r>
          </w:p>
        </w:tc>
        <w:tc>
          <w:tcPr>
            <w:tcW w:type="dxa" w:w="525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Per-horizon/regime probability and interval calibration</w:t>
            </w:r>
          </w:p>
        </w:tc>
        <w:tc>
          <w:tcPr>
            <w:tcW w:type="dxa" w:w="291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Versioned artifacts</w:t>
            </w:r>
          </w:p>
        </w:tc>
      </w:tr>
      <w:tr>
        <w:tc>
          <w:tcPr>
            <w:tcW w:type="dxa" w:w="12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7. Gate</w:t>
            </w:r>
          </w:p>
        </w:tc>
        <w:tc>
          <w:tcPr>
            <w:tcW w:type="dxa" w:w="525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Costs, liquidity, OOD, data, latency, uncertainty, event policy</w:t>
            </w:r>
          </w:p>
        </w:tc>
        <w:tc>
          <w:tcPr>
            <w:tcW w:type="dxa" w:w="291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Unified risk policy</w:t>
            </w:r>
          </w:p>
        </w:tc>
      </w:tr>
      <w:tr>
        <w:tc>
          <w:tcPr>
            <w:tcW w:type="dxa" w:w="12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8. Publish</w:t>
            </w:r>
          </w:p>
        </w:tc>
        <w:tc>
          <w:tcPr>
            <w:tcW w:type="dxa" w:w="525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EvidenceEnvelope + append-only Prediction Ledger</w:t>
            </w:r>
          </w:p>
        </w:tc>
        <w:tc>
          <w:tcPr>
            <w:tcW w:type="dxa" w:w="291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Rust API; Next.js proxy/UI</w:t>
            </w:r>
          </w:p>
        </w:tc>
      </w:tr>
      <w:tr>
        <w:tc>
          <w:tcPr>
            <w:tcW w:type="dxa" w:w="12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9. Explain</w:t>
            </w:r>
          </w:p>
        </w:tc>
        <w:tc>
          <w:tcPr>
            <w:tcW w:type="dxa" w:w="525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Natural-language rendering from envelope only</w:t>
            </w:r>
          </w:p>
        </w:tc>
        <w:tc>
          <w:tcPr>
            <w:tcW w:type="dxa" w:w="291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LLM optional; never changes numbers</w:t>
            </w:r>
          </w:p>
        </w:tc>
      </w:tr>
    </w:tbl>
    <w:p>
      <w:pPr>
        <w:spacing w:after="40"/>
      </w:pPr>
    </w:p>
    <w:p>
      <w:pPr>
        <w:pStyle w:val="Heading2"/>
        <w:keepNext/>
      </w:pPr>
      <w:r>
        <w:t>7.2 Primary chain: HMM + soft regime-compatible analogue kernel</w:t>
      </w:r>
    </w:p>
    <w:p>
      <w:pPr>
        <w:spacing w:after="120" w:line="300" w:lineRule="auto"/>
      </w:pPr>
      <w:r>
        <w:rPr>
          <w:rFonts w:ascii="Calibri" w:hAnsi="Calibri" w:eastAsia="Calibri" w:cs="Calibri"/>
          <w:i w:val="0"/>
          <w:color w:val="111111"/>
          <w:sz w:val="22"/>
        </w:rPr>
        <w:t>The HMM describes latent context; it does not independently decide direction. Use 3-5 Gaussian states initially, regularized covariance, stable initialization, and label alignment across retrains. Live state uses only the forward posterior probability vector pi(t).</w:t>
      </w:r>
    </w:p>
    <w:p>
      <w:pPr>
        <w:spacing w:before="60" w:after="160" w:line="240" w:lineRule="auto"/>
        <w:ind w:left="115" w:right="115"/>
        <w:shd w:fill="F7F8FA"/>
        <w:pBdr>
          <w:top w:val="single" w:sz="4" w:space="6" w:color="D7DBE2"/>
          <w:left w:val="single" w:sz="4" w:space="6" w:color="D7DBE2"/>
          <w:bottom w:val="single" w:sz="4" w:space="6" w:color="D7DBE2"/>
          <w:right w:val="single" w:sz="4" w:space="6" w:color="D7DBE2"/>
        </w:pBdr>
      </w:pPr>
      <w:r>
        <w:rPr>
          <w:rFonts w:ascii="DejaVu Sans Mono" w:hAnsi="DejaVu Sans Mono" w:eastAsia="DejaVu Sans Mono" w:cs="DejaVu Sans Mono"/>
          <w:color w:val="27313D"/>
          <w:sz w:val="16"/>
        </w:rPr>
        <w:t>HMM transition:        A_ij = P(z_t = j | z_{t-1} = i)</w:t>
        <w:br/>
        <w:t>Emission:              x_t | z_t=k ~ N(mu_k, Sigma_k)</w:t>
        <w:br/>
        <w:t>Regime compatibility: c_i = (pi_t dot pi_i)^gamma</w:t>
        <w:br/>
        <w:t>State similarity:      d_i^2 = (x_t - x_i)' Sigma_reg^-1 (x_t - x_i)</w:t>
        <w:br/>
        <w:t>Analogue weight:       w_i proportional to exp(-d_i^2 / (2 h^2)) * c_i * q_i * e_i * recency_i</w:t>
        <w:br/>
        <w:t>Forecast distribution: weighted empirical CDF of future returns {r_i,h}, not only a mean</w:t>
      </w:r>
    </w:p>
    <w:p>
      <w:pPr>
        <w:keepLines/>
        <w:numPr>
          <w:ilvl w:val="0"/>
          <w:numId w:val="16"/>
        </w:numPr>
        <w:spacing w:after="80" w:line="300" w:lineRule="auto"/>
      </w:pPr>
      <w:r>
        <w:rPr>
          <w:rFonts w:ascii="Calibri" w:hAnsi="Calibri" w:eastAsia="Calibri" w:cs="Calibri"/>
          <w:color w:val="111111"/>
          <w:sz w:val="22"/>
        </w:rPr>
        <w:t>No hard regime filter: all historical analogues may contribute, but incompatible regimes receive low weight.</w:t>
      </w:r>
    </w:p>
    <w:p>
      <w:pPr>
        <w:keepLines/>
        <w:numPr>
          <w:ilvl w:val="0"/>
          <w:numId w:val="16"/>
        </w:numPr>
        <w:spacing w:after="80" w:line="300" w:lineRule="auto"/>
      </w:pPr>
      <w:r>
        <w:rPr>
          <w:rFonts w:ascii="Calibri" w:hAnsi="Calibri" w:eastAsia="Calibri" w:cs="Calibri"/>
          <w:color w:val="111111"/>
          <w:sz w:val="22"/>
        </w:rPr>
        <w:t>Bandwidth, covariance shrinkage, gamma, recency, and minimum effective sample size are selected within the training fold only.</w:t>
      </w:r>
    </w:p>
    <w:p>
      <w:pPr>
        <w:keepLines/>
        <w:numPr>
          <w:ilvl w:val="0"/>
          <w:numId w:val="16"/>
        </w:numPr>
        <w:spacing w:after="80" w:line="300" w:lineRule="auto"/>
      </w:pPr>
      <w:r>
        <w:rPr>
          <w:rFonts w:ascii="Calibri" w:hAnsi="Calibri" w:eastAsia="Calibri" w:cs="Calibri"/>
          <w:color w:val="111111"/>
          <w:sz w:val="22"/>
        </w:rPr>
        <w:t>Analogue quality reports effective N, distance dispersion, regime compatibility, and forward-outcome dispersion.</w:t>
      </w:r>
    </w:p>
    <w:p>
      <w:pPr>
        <w:keepLines/>
        <w:numPr>
          <w:ilvl w:val="0"/>
          <w:numId w:val="16"/>
        </w:numPr>
        <w:spacing w:after="80" w:line="300" w:lineRule="auto"/>
      </w:pPr>
      <w:r>
        <w:rPr>
          <w:rFonts w:ascii="Calibri" w:hAnsi="Calibri" w:eastAsia="Calibri" w:cs="Calibri"/>
          <w:color w:val="111111"/>
          <w:sz w:val="22"/>
        </w:rPr>
        <w:t>If effective N or local support is insufficient, the model abstains rather than extrapolating.</w:t>
      </w:r>
    </w:p>
    <w:p>
      <w:pPr>
        <w:pStyle w:val="Heading2"/>
        <w:keepNext/>
      </w:pPr>
      <w:r>
        <w:t>7.3 Baselines and challengers</w:t>
      </w:r>
    </w:p>
    <w:tbl>
      <w:tblPr>
        <w:tblW w:type="dxa" w:w="9360"/>
        <w:tblLayout w:type="fixed"/>
        <w:tblLook w:firstColumn="1" w:firstRow="1" w:lastColumn="0" w:lastRow="0" w:noHBand="0" w:noVBand="1" w:val="04A0"/>
        <w:jc w:val="left"/>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700"/>
        <w:gridCol w:w="4100"/>
        <w:gridCol w:w="3560"/>
      </w:tblGrid>
      <w:tr>
        <w:trPr>
          <w:tblHeader w:val="true"/>
        </w:trPr>
        <w:tc>
          <w:tcPr>
            <w:tcW w:type="dxa" w:w="1700"/>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7"/>
              </w:rPr>
              <w:t>Role</w:t>
            </w:r>
          </w:p>
        </w:tc>
        <w:tc>
          <w:tcPr>
            <w:tcW w:type="dxa" w:w="4100"/>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7"/>
              </w:rPr>
              <w:t>Model</w:t>
            </w:r>
          </w:p>
        </w:tc>
        <w:tc>
          <w:tcPr>
            <w:tcW w:type="dxa" w:w="3560"/>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7"/>
              </w:rPr>
              <w:t>Release policy</w:t>
            </w:r>
          </w:p>
        </w:tc>
      </w:tr>
      <w:tr>
        <w:tc>
          <w:tcPr>
            <w:tcW w:type="dxa" w:w="17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Mandatory baseline</w:t>
            </w:r>
          </w:p>
        </w:tc>
        <w:tc>
          <w:tcPr>
            <w:tcW w:type="dxa" w:w="41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Ridge/logistic with causal standardized features</w:t>
            </w:r>
          </w:p>
        </w:tc>
        <w:tc>
          <w:tcPr>
            <w:tcW w:type="dxa" w:w="356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Always scored; cannot be removed</w:t>
            </w:r>
          </w:p>
        </w:tc>
      </w:tr>
      <w:tr>
        <w:tc>
          <w:tcPr>
            <w:tcW w:type="dxa" w:w="17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Tabular challenger</w:t>
            </w:r>
          </w:p>
        </w:tc>
        <w:tc>
          <w:tcPr>
            <w:tcW w:type="dxa" w:w="41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LightGBM/XGBoost with monotonic/complexity limits</w:t>
            </w:r>
          </w:p>
        </w:tc>
        <w:tc>
          <w:tcPr>
            <w:tcW w:type="dxa" w:w="356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OOF only; calibrated separately</w:t>
            </w:r>
          </w:p>
        </w:tc>
      </w:tr>
      <w:tr>
        <w:tc>
          <w:tcPr>
            <w:tcW w:type="dxa" w:w="17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SDE challenger</w:t>
            </w:r>
          </w:p>
        </w:tc>
        <w:tc>
          <w:tcPr>
            <w:tcW w:type="dxa" w:w="41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Markov-switching OU/SDE</w:t>
            </w:r>
          </w:p>
        </w:tc>
        <w:tc>
          <w:tcPr>
            <w:tcW w:type="dxa" w:w="356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Shadow only until independent promotion</w:t>
            </w:r>
          </w:p>
        </w:tc>
      </w:tr>
      <w:tr>
        <w:tc>
          <w:tcPr>
            <w:tcW w:type="dxa" w:w="17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Deep-learning challenger</w:t>
            </w:r>
          </w:p>
        </w:tc>
        <w:tc>
          <w:tcPr>
            <w:tcW w:type="dxa" w:w="41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TCN/TFT/Transformer or representation model</w:t>
            </w:r>
          </w:p>
        </w:tc>
        <w:tc>
          <w:tcPr>
            <w:tcW w:type="dxa" w:w="356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Offline only; requires data-scale and ablation justification</w:t>
            </w:r>
          </w:p>
        </w:tc>
      </w:tr>
      <w:tr>
        <w:tc>
          <w:tcPr>
            <w:tcW w:type="dxa" w:w="17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LLM</w:t>
            </w:r>
          </w:p>
        </w:tc>
        <w:tc>
          <w:tcPr>
            <w:tcW w:type="dxa" w:w="41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Event extraction and explanation</w:t>
            </w:r>
          </w:p>
        </w:tc>
        <w:tc>
          <w:tcPr>
            <w:tcW w:type="dxa" w:w="356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No numeric forecast or gating authority</w:t>
            </w:r>
          </w:p>
        </w:tc>
      </w:tr>
    </w:tbl>
    <w:p>
      <w:pPr>
        <w:spacing w:after="40"/>
      </w:pPr>
    </w:p>
    <w:p>
      <w:pPr>
        <w:pStyle w:val="Heading2"/>
        <w:keepNext/>
      </w:pPr>
      <w:r>
        <w:t>7.4 Ensemble policy</w:t>
      </w:r>
    </w:p>
    <w:p>
      <w:pPr>
        <w:spacing w:after="120" w:line="300" w:lineRule="auto"/>
      </w:pPr>
      <w:r>
        <w:rPr>
          <w:rFonts w:ascii="Calibri" w:hAnsi="Calibri" w:eastAsia="Calibri" w:cs="Calibri"/>
          <w:i w:val="0"/>
          <w:color w:val="111111"/>
          <w:sz w:val="22"/>
        </w:rPr>
        <w:t>Use a weak-signal ensemble only after every member has independent OOS diagnostics. Stacking weights are learned from out-of-fold predictions, regularized, versioned, and bounded. Highly correlated models may not create fake confidence by voting multiple times on the same signal.</w:t>
      </w:r>
    </w:p>
    <w:p>
      <w:pPr>
        <w:pStyle w:val="Heading1"/>
        <w:keepNext/>
      </w:pPr>
      <w:r>
        <w:t>8. Strategy / Hypothesis Registry</w:t>
      </w:r>
    </w:p>
    <w:p>
      <w:pPr>
        <w:spacing w:after="120" w:line="300" w:lineRule="auto"/>
      </w:pPr>
      <w:r>
        <w:rPr>
          <w:rFonts w:ascii="Calibri" w:hAnsi="Calibri" w:eastAsia="Calibri" w:cs="Calibri"/>
          <w:i w:val="0"/>
          <w:color w:val="111111"/>
          <w:sz w:val="22"/>
        </w:rPr>
        <w:t>A strategy is a falsifiable conditional hypothesis, not a chart pattern name. Each module owns its universe, horizon, entry observation, label, causal features, expected mechanism, cost model, disconfirming tests, and lifecycle status. Strategies share the platform but are never merged into one untraceable rule soup.</w:t>
      </w:r>
    </w:p>
    <w:tbl>
      <w:tblPr>
        <w:tblW w:type="dxa" w:w="9360"/>
        <w:tblLayout w:type="fixed"/>
        <w:tblLook w:firstColumn="1" w:firstRow="1" w:lastColumn="0" w:lastRow="0" w:noHBand="0" w:noVBand="1" w:val="04A0"/>
        <w:jc w:val="left"/>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900"/>
        <w:gridCol w:w="5860"/>
        <w:gridCol w:w="1600"/>
      </w:tblGrid>
      <w:tr>
        <w:trPr>
          <w:tblHeader w:val="true"/>
        </w:trPr>
        <w:tc>
          <w:tcPr>
            <w:tcW w:type="dxa" w:w="1900"/>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7"/>
              </w:rPr>
              <w:t>Module</w:t>
            </w:r>
          </w:p>
        </w:tc>
        <w:tc>
          <w:tcPr>
            <w:tcW w:type="dxa" w:w="5860"/>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7"/>
              </w:rPr>
              <w:t>Hypothesis</w:t>
            </w:r>
          </w:p>
        </w:tc>
        <w:tc>
          <w:tcPr>
            <w:tcW w:type="dxa" w:w="1600"/>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7"/>
              </w:rPr>
              <w:t>Priority</w:t>
            </w:r>
          </w:p>
        </w:tc>
      </w:tr>
      <w:tr>
        <w:tc>
          <w:tcPr>
            <w:tcW w:type="dxa" w:w="19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S1 Trend continuation</w:t>
            </w:r>
          </w:p>
        </w:tc>
        <w:tc>
          <w:tcPr>
            <w:tcW w:type="dxa" w:w="586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Broad and microstructure confirmation predicts continuation beyond costs</w:t>
            </w:r>
          </w:p>
        </w:tc>
        <w:tc>
          <w:tcPr>
            <w:tcW w:type="dxa" w:w="16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P0</w:t>
            </w:r>
          </w:p>
        </w:tc>
      </w:tr>
      <w:tr>
        <w:tc>
          <w:tcPr>
            <w:tcW w:type="dxa" w:w="19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S2 VWAP mean reversion</w:t>
            </w:r>
          </w:p>
        </w:tc>
        <w:tc>
          <w:tcPr>
            <w:tcW w:type="dxa" w:w="586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Overextension plus fading OFI/liquidity predicts reversion</w:t>
            </w:r>
          </w:p>
        </w:tc>
        <w:tc>
          <w:tcPr>
            <w:tcW w:type="dxa" w:w="16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P0</w:t>
            </w:r>
          </w:p>
        </w:tc>
      </w:tr>
      <w:tr>
        <w:tc>
          <w:tcPr>
            <w:tcW w:type="dxa" w:w="19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S3 Opening regime</w:t>
            </w:r>
          </w:p>
        </w:tc>
        <w:tc>
          <w:tcPr>
            <w:tcW w:type="dxa" w:w="586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Gap/opening-range state changes 5-60m conditional distribution</w:t>
            </w:r>
          </w:p>
        </w:tc>
        <w:tc>
          <w:tcPr>
            <w:tcW w:type="dxa" w:w="16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P1</w:t>
            </w:r>
          </w:p>
        </w:tc>
      </w:tr>
      <w:tr>
        <w:tc>
          <w:tcPr>
            <w:tcW w:type="dxa" w:w="19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S4 Closing pressure</w:t>
            </w:r>
          </w:p>
        </w:tc>
        <w:tc>
          <w:tcPr>
            <w:tcW w:type="dxa" w:w="586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Late-day imbalance, dealer/hedger state, and short-covering alter close path</w:t>
            </w:r>
          </w:p>
        </w:tc>
        <w:tc>
          <w:tcPr>
            <w:tcW w:type="dxa" w:w="16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P1</w:t>
            </w:r>
          </w:p>
        </w:tc>
      </w:tr>
      <w:tr>
        <w:tc>
          <w:tcPr>
            <w:tcW w:type="dxa" w:w="19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S5 Volatility expansion</w:t>
            </w:r>
          </w:p>
        </w:tc>
        <w:tc>
          <w:tcPr>
            <w:tcW w:type="dxa" w:w="586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Compression, option structure, and flow predict realized-vol breakout</w:t>
            </w:r>
          </w:p>
        </w:tc>
        <w:tc>
          <w:tcPr>
            <w:tcW w:type="dxa" w:w="16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P1</w:t>
            </w:r>
          </w:p>
        </w:tc>
      </w:tr>
      <w:tr>
        <w:tc>
          <w:tcPr>
            <w:tcW w:type="dxa" w:w="19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S6 Event reaction atlas</w:t>
            </w:r>
          </w:p>
        </w:tc>
        <w:tc>
          <w:tcPr>
            <w:tcW w:type="dxa" w:w="586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Similar pre-event state and surprise/reaction profiles predict path distribution</w:t>
            </w:r>
          </w:p>
        </w:tc>
        <w:tc>
          <w:tcPr>
            <w:tcW w:type="dxa" w:w="16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P2</w:t>
            </w:r>
          </w:p>
        </w:tc>
      </w:tr>
      <w:tr>
        <w:tc>
          <w:tcPr>
            <w:tcW w:type="dxa" w:w="19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S7 Gamma/option regime</w:t>
            </w:r>
          </w:p>
        </w:tc>
        <w:tc>
          <w:tcPr>
            <w:tcW w:type="dxa" w:w="586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Estimated convexity concentration conditions trend vs. pinning behavior</w:t>
            </w:r>
          </w:p>
        </w:tc>
        <w:tc>
          <w:tcPr>
            <w:tcW w:type="dxa" w:w="16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P2</w:t>
            </w:r>
          </w:p>
        </w:tc>
      </w:tr>
      <w:tr>
        <w:tc>
          <w:tcPr>
            <w:tcW w:type="dxa" w:w="19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S8 Relative value/pairs</w:t>
            </w:r>
          </w:p>
        </w:tc>
        <w:tc>
          <w:tcPr>
            <w:tcW w:type="dxa" w:w="586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Stationary or structurally linked spread deviations mean-revert conditionally</w:t>
            </w:r>
          </w:p>
        </w:tc>
        <w:tc>
          <w:tcPr>
            <w:tcW w:type="dxa" w:w="16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P3</w:t>
            </w:r>
          </w:p>
        </w:tc>
      </w:tr>
    </w:tbl>
    <w:p>
      <w:pPr>
        <w:spacing w:after="40"/>
      </w:pPr>
    </w:p>
    <w:p>
      <w:pPr>
        <w:pStyle w:val="Heading2"/>
        <w:keepNext/>
      </w:pPr>
      <w:r>
        <w:t>8.1 Registry record</w:t>
      </w:r>
    </w:p>
    <w:p>
      <w:pPr>
        <w:spacing w:before="60" w:after="160" w:line="240" w:lineRule="auto"/>
        <w:ind w:left="115" w:right="115"/>
        <w:shd w:fill="F7F8FA"/>
        <w:pBdr>
          <w:top w:val="single" w:sz="4" w:space="6" w:color="D7DBE2"/>
          <w:left w:val="single" w:sz="4" w:space="6" w:color="D7DBE2"/>
          <w:bottom w:val="single" w:sz="4" w:space="6" w:color="D7DBE2"/>
          <w:right w:val="single" w:sz="4" w:space="6" w:color="D7DBE2"/>
        </w:pBdr>
      </w:pPr>
      <w:r>
        <w:rPr>
          <w:rFonts w:ascii="DejaVu Sans Mono" w:hAnsi="DejaVu Sans Mono" w:eastAsia="DejaVu Sans Mono" w:cs="DejaVu Sans Mono"/>
          <w:color w:val="27313D"/>
          <w:sz w:val="16"/>
        </w:rPr>
        <w:t>strategy_id, version, owner, hypothesis, economic_mechanism, universe, horizon,</w:t>
        <w:br/>
        <w:t>feature_set_version, label_version, cost_model_version, training_window,</w:t>
        <w:br/>
        <w:t>validation_design, predeclared_metrics, negative_controls, status, approvers,</w:t>
        <w:br/>
        <w:t>first_shadow_ts, promotion_ts, retirement_reason</w:t>
      </w:r>
    </w:p>
    <w:p>
      <w:pPr>
        <w:spacing w:before="60" w:after="160" w:line="276" w:lineRule="auto"/>
        <w:ind w:left="115" w:right="115"/>
        <w:shd w:fill="E8EEF5"/>
        <w:pBdr>
          <w:top w:val="single" w:sz="4" w:space="6" w:color="E8EEF5"/>
          <w:left w:val="single" w:sz="4" w:space="6" w:color="E8EEF5"/>
          <w:bottom w:val="single" w:sz="4" w:space="6" w:color="E8EEF5"/>
          <w:right w:val="single" w:sz="4" w:space="6" w:color="E8EEF5"/>
        </w:pBdr>
      </w:pPr>
      <w:r>
        <w:rPr>
          <w:rFonts w:ascii="Calibri" w:hAnsi="Calibri" w:eastAsia="Calibri" w:cs="Calibri"/>
          <w:b/>
          <w:color w:val="0B2545"/>
          <w:sz w:val="21"/>
        </w:rPr>
        <w:t xml:space="preserve">EXPECTANCY  </w:t>
      </w:r>
      <w:r>
        <w:rPr>
          <w:rFonts w:ascii="Calibri" w:hAnsi="Calibri" w:eastAsia="Calibri" w:cs="Calibri"/>
          <w:color w:val="111111"/>
          <w:sz w:val="21"/>
        </w:rPr>
        <w:t>A high win rate is not sufficient. The required economic metric is expectancy = win_rate x average_win - loss_rate x average_loss - all trading costs. Confidence intervals and sample size must accompany the point estimate.</w:t>
      </w:r>
    </w:p>
    <w:p>
      <w:pPr>
        <w:pStyle w:val="Heading1"/>
        <w:keepNext/>
      </w:pPr>
      <w:r>
        <w:t>9. Calibration, Costs, OOD, and Abstention</w:t>
      </w:r>
    </w:p>
    <w:p>
      <w:pPr>
        <w:pStyle w:val="Heading2"/>
        <w:keepNext/>
      </w:pPr>
      <w:r>
        <w:t>9.1 Calibration</w:t>
      </w:r>
    </w:p>
    <w:p>
      <w:pPr>
        <w:keepLines/>
        <w:numPr>
          <w:ilvl w:val="0"/>
          <w:numId w:val="17"/>
        </w:numPr>
        <w:spacing w:after="80" w:line="300" w:lineRule="auto"/>
      </w:pPr>
      <w:r>
        <w:rPr>
          <w:rFonts w:ascii="Calibri" w:hAnsi="Calibri" w:eastAsia="Calibri" w:cs="Calibri"/>
          <w:color w:val="111111"/>
          <w:sz w:val="22"/>
        </w:rPr>
        <w:t>Probability calibration uses Platt, isotonic, or beta calibration selected on nested OOF predictions, never on the final test period.</w:t>
      </w:r>
    </w:p>
    <w:p>
      <w:pPr>
        <w:keepLines/>
        <w:numPr>
          <w:ilvl w:val="0"/>
          <w:numId w:val="17"/>
        </w:numPr>
        <w:spacing w:after="80" w:line="300" w:lineRule="auto"/>
      </w:pPr>
      <w:r>
        <w:rPr>
          <w:rFonts w:ascii="Calibri" w:hAnsi="Calibri" w:eastAsia="Calibri" w:cs="Calibri"/>
          <w:color w:val="111111"/>
          <w:sz w:val="22"/>
        </w:rPr>
        <w:t>Return intervals use split/conformal or quantile calibration by horizon and sufficiently supported regime/session bucket.</w:t>
      </w:r>
    </w:p>
    <w:p>
      <w:pPr>
        <w:keepLines/>
        <w:numPr>
          <w:ilvl w:val="0"/>
          <w:numId w:val="17"/>
        </w:numPr>
        <w:spacing w:after="80" w:line="300" w:lineRule="auto"/>
      </w:pPr>
      <w:r>
        <w:rPr>
          <w:rFonts w:ascii="Calibri" w:hAnsi="Calibri" w:eastAsia="Calibri" w:cs="Calibri"/>
          <w:color w:val="111111"/>
          <w:sz w:val="22"/>
        </w:rPr>
        <w:t>Calibration artifacts expire on schedule or when coverage/drift alarms trigger. An expired artifact forces WITHHOLD.</w:t>
      </w:r>
    </w:p>
    <w:p>
      <w:pPr>
        <w:keepLines/>
        <w:numPr>
          <w:ilvl w:val="0"/>
          <w:numId w:val="17"/>
        </w:numPr>
        <w:spacing w:after="80" w:line="300" w:lineRule="auto"/>
      </w:pPr>
      <w:r>
        <w:rPr>
          <w:rFonts w:ascii="Calibri" w:hAnsi="Calibri" w:eastAsia="Calibri" w:cs="Calibri"/>
          <w:color w:val="111111"/>
          <w:sz w:val="22"/>
        </w:rPr>
        <w:t>Reliability diagrams, expected calibration error, Brier decomposition, and empirical interval coverage are stored for every release.</w:t>
      </w:r>
    </w:p>
    <w:p>
      <w:pPr>
        <w:pStyle w:val="Heading2"/>
        <w:keepNext/>
      </w:pPr>
      <w:r>
        <w:t>9.2 Cost and liquidity gate</w:t>
      </w:r>
    </w:p>
    <w:p>
      <w:pPr>
        <w:spacing w:before="60" w:after="160" w:line="240" w:lineRule="auto"/>
        <w:ind w:left="115" w:right="115"/>
        <w:shd w:fill="F7F8FA"/>
        <w:pBdr>
          <w:top w:val="single" w:sz="4" w:space="6" w:color="D7DBE2"/>
          <w:left w:val="single" w:sz="4" w:space="6" w:color="D7DBE2"/>
          <w:bottom w:val="single" w:sz="4" w:space="6" w:color="D7DBE2"/>
          <w:right w:val="single" w:sz="4" w:space="6" w:color="D7DBE2"/>
        </w:pBdr>
      </w:pPr>
      <w:r>
        <w:rPr>
          <w:rFonts w:ascii="DejaVu Sans Mono" w:hAnsi="DejaVu Sans Mono" w:eastAsia="DejaVu Sans Mono" w:cs="DejaVu Sans Mono"/>
          <w:color w:val="27313D"/>
          <w:sz w:val="16"/>
        </w:rPr>
        <w:t>edge_net = expected_return - spread_cost - slippage - fees - latency_penalty</w:t>
        <w:br/>
        <w:t>publish directional edge only when:</w:t>
        <w:br/>
        <w:t xml:space="preserve">  lower_calibrated_bound(edge_net) &gt; 0</w:t>
        <w:br/>
        <w:t xml:space="preserve">  AND liquidity_eligible</w:t>
        <w:br/>
        <w:t xml:space="preserve">  AND expected_max_adverse_excursion &lt;= policy limit</w:t>
        <w:br/>
        <w:t xml:space="preserve">  AND effective_sample_size &gt;= minimum</w:t>
        <w:br/>
        <w:t xml:space="preserve">  AND all data/calibration/OOD/latency gates pass</w:t>
      </w:r>
    </w:p>
    <w:p>
      <w:pPr>
        <w:pStyle w:val="Heading2"/>
        <w:keepNext/>
      </w:pPr>
      <w:r>
        <w:t>9.3 Standard decision statuses</w:t>
      </w:r>
    </w:p>
    <w:tbl>
      <w:tblPr>
        <w:tblW w:type="dxa" w:w="9360"/>
        <w:tblLayout w:type="fixed"/>
        <w:tblLook w:firstColumn="1" w:firstRow="1" w:lastColumn="0" w:lastRow="0" w:noHBand="0" w:noVBand="1" w:val="04A0"/>
        <w:jc w:val="left"/>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800"/>
        <w:gridCol w:w="4200"/>
        <w:gridCol w:w="3360"/>
      </w:tblGrid>
      <w:tr>
        <w:trPr>
          <w:tblHeader w:val="true"/>
        </w:trPr>
        <w:tc>
          <w:tcPr>
            <w:tcW w:type="dxa" w:w="1800"/>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7"/>
              </w:rPr>
              <w:t>Status</w:t>
            </w:r>
          </w:p>
        </w:tc>
        <w:tc>
          <w:tcPr>
            <w:tcW w:type="dxa" w:w="4200"/>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7"/>
              </w:rPr>
              <w:t>Meaning</w:t>
            </w:r>
          </w:p>
        </w:tc>
        <w:tc>
          <w:tcPr>
            <w:tcW w:type="dxa" w:w="3360"/>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7"/>
              </w:rPr>
              <w:t>Example reason codes</w:t>
            </w:r>
          </w:p>
        </w:tc>
      </w:tr>
      <w:tr>
        <w:tc>
          <w:tcPr>
            <w:tcW w:type="dxa" w:w="18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FORECAST_VALID</w:t>
            </w:r>
          </w:p>
        </w:tc>
        <w:tc>
          <w:tcPr>
            <w:tcW w:type="dxa" w:w="42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Distribution may be published</w:t>
            </w:r>
          </w:p>
        </w:tc>
        <w:tc>
          <w:tcPr>
            <w:tcW w:type="dxa" w:w="336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ALL_GATES_PASS</w:t>
            </w:r>
          </w:p>
        </w:tc>
      </w:tr>
      <w:tr>
        <w:tc>
          <w:tcPr>
            <w:tcW w:type="dxa" w:w="18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NO_EDGE</w:t>
            </w:r>
          </w:p>
        </w:tc>
        <w:tc>
          <w:tcPr>
            <w:tcW w:type="dxa" w:w="42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Valid model but edge does not clear cost/uncertainty</w:t>
            </w:r>
          </w:p>
        </w:tc>
        <w:tc>
          <w:tcPr>
            <w:tcW w:type="dxa" w:w="336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INTERVAL_CROSSES_ZERO, COST_EXCEEDS_EDGE</w:t>
            </w:r>
          </w:p>
        </w:tc>
      </w:tr>
      <w:tr>
        <w:tc>
          <w:tcPr>
            <w:tcW w:type="dxa" w:w="18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INSUFFICIENT_DATA</w:t>
            </w:r>
          </w:p>
        </w:tc>
        <w:tc>
          <w:tcPr>
            <w:tcW w:type="dxa" w:w="42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Context or analogue support missing</w:t>
            </w:r>
          </w:p>
        </w:tc>
        <w:tc>
          <w:tcPr>
            <w:tcW w:type="dxa" w:w="336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CONTEXT_GAP, LOW_EFFECTIVE_N</w:t>
            </w:r>
          </w:p>
        </w:tc>
      </w:tr>
      <w:tr>
        <w:tc>
          <w:tcPr>
            <w:tcW w:type="dxa" w:w="18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CALIBRATION_INVALID</w:t>
            </w:r>
          </w:p>
        </w:tc>
        <w:tc>
          <w:tcPr>
            <w:tcW w:type="dxa" w:w="42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Calibration missing, expired, or failed coverage</w:t>
            </w:r>
          </w:p>
        </w:tc>
        <w:tc>
          <w:tcPr>
            <w:tcW w:type="dxa" w:w="336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NOT_CONFIGURED, COVERAGE_BREACH</w:t>
            </w:r>
          </w:p>
        </w:tc>
      </w:tr>
      <w:tr>
        <w:tc>
          <w:tcPr>
            <w:tcW w:type="dxa" w:w="18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OUT_OF_DISTRIBUTION</w:t>
            </w:r>
          </w:p>
        </w:tc>
        <w:tc>
          <w:tcPr>
            <w:tcW w:type="dxa" w:w="42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Observation unsupported by training data</w:t>
            </w:r>
          </w:p>
        </w:tc>
        <w:tc>
          <w:tcPr>
            <w:tcW w:type="dxa" w:w="336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OOD_HIGH, FEATURE_RANGE_BREACH</w:t>
            </w:r>
          </w:p>
        </w:tc>
      </w:tr>
      <w:tr>
        <w:tc>
          <w:tcPr>
            <w:tcW w:type="dxa" w:w="18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WITHHELD</w:t>
            </w:r>
          </w:p>
        </w:tc>
        <w:tc>
          <w:tcPr>
            <w:tcW w:type="dxa" w:w="42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Operational policy blocked publication</w:t>
            </w:r>
          </w:p>
        </w:tc>
        <w:tc>
          <w:tcPr>
            <w:tcW w:type="dxa" w:w="336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LATENCY_BREACH, SOURCE_STALE, MODEL_NOT_PROMOTED</w:t>
            </w:r>
          </w:p>
        </w:tc>
      </w:tr>
    </w:tbl>
    <w:p>
      <w:pPr>
        <w:spacing w:after="40"/>
      </w:pPr>
    </w:p>
    <w:p>
      <w:pPr>
        <w:pStyle w:val="Heading1"/>
        <w:keepNext/>
      </w:pPr>
      <w:r>
        <w:t>10. Research and Backtesting Standard</w:t>
      </w:r>
    </w:p>
    <w:p>
      <w:pPr>
        <w:pStyle w:val="Heading2"/>
        <w:keepNext/>
      </w:pPr>
      <w:r>
        <w:t>10.1 Mandatory protocol</w:t>
      </w:r>
    </w:p>
    <w:p>
      <w:pPr>
        <w:keepLines/>
        <w:numPr>
          <w:ilvl w:val="0"/>
          <w:numId w:val="18"/>
        </w:numPr>
        <w:spacing w:after="80" w:line="300" w:lineRule="auto"/>
      </w:pPr>
      <w:r>
        <w:rPr>
          <w:rFonts w:ascii="Calibri" w:hAnsi="Calibri" w:eastAsia="Calibri" w:cs="Calibri"/>
          <w:color w:val="111111"/>
          <w:sz w:val="22"/>
        </w:rPr>
        <w:t>Freeze the hypothesis, target, feature availability, metrics, cost assumptions, and promotion thresholds before touching the final test period.</w:t>
      </w:r>
    </w:p>
    <w:p>
      <w:pPr>
        <w:keepLines/>
        <w:numPr>
          <w:ilvl w:val="0"/>
          <w:numId w:val="18"/>
        </w:numPr>
        <w:spacing w:after="80" w:line="300" w:lineRule="auto"/>
      </w:pPr>
      <w:r>
        <w:rPr>
          <w:rFonts w:ascii="Calibri" w:hAnsi="Calibri" w:eastAsia="Calibri" w:cs="Calibri"/>
          <w:color w:val="111111"/>
          <w:sz w:val="22"/>
        </w:rPr>
        <w:t>Build point-in-time raw and feature manifests; prove that every observation existed at the simulated cutoff.</w:t>
      </w:r>
    </w:p>
    <w:p>
      <w:pPr>
        <w:keepLines/>
        <w:numPr>
          <w:ilvl w:val="0"/>
          <w:numId w:val="18"/>
        </w:numPr>
        <w:spacing w:after="80" w:line="300" w:lineRule="auto"/>
      </w:pPr>
      <w:r>
        <w:rPr>
          <w:rFonts w:ascii="Calibri" w:hAnsi="Calibri" w:eastAsia="Calibri" w:cs="Calibri"/>
          <w:color w:val="111111"/>
          <w:sz w:val="22"/>
        </w:rPr>
        <w:t>Split chronologically. Use rolling/expanding walk-forward training with purge and embargo sized to the maximum label horizon.</w:t>
      </w:r>
    </w:p>
    <w:p>
      <w:pPr>
        <w:keepLines/>
        <w:numPr>
          <w:ilvl w:val="0"/>
          <w:numId w:val="18"/>
        </w:numPr>
        <w:spacing w:after="80" w:line="300" w:lineRule="auto"/>
      </w:pPr>
      <w:r>
        <w:rPr>
          <w:rFonts w:ascii="Calibri" w:hAnsi="Calibri" w:eastAsia="Calibri" w:cs="Calibri"/>
          <w:color w:val="111111"/>
          <w:sz w:val="22"/>
        </w:rPr>
        <w:t>Fit feature normalization, HMM, kernel parameters, model hyperparameters, ensemble, and calibration inside the relevant training/validation fold only.</w:t>
      </w:r>
    </w:p>
    <w:p>
      <w:pPr>
        <w:keepLines/>
        <w:numPr>
          <w:ilvl w:val="0"/>
          <w:numId w:val="18"/>
        </w:numPr>
        <w:spacing w:after="80" w:line="300" w:lineRule="auto"/>
      </w:pPr>
      <w:r>
        <w:rPr>
          <w:rFonts w:ascii="Calibri" w:hAnsi="Calibri" w:eastAsia="Calibri" w:cs="Calibri"/>
          <w:color w:val="111111"/>
          <w:sz w:val="22"/>
        </w:rPr>
        <w:t>Generate one immutable prediction for every eligible cutoff, including abstentions and failures; never evaluate only the rows that later looked attractive.</w:t>
      </w:r>
    </w:p>
    <w:p>
      <w:pPr>
        <w:keepLines/>
        <w:numPr>
          <w:ilvl w:val="0"/>
          <w:numId w:val="18"/>
        </w:numPr>
        <w:spacing w:after="80" w:line="300" w:lineRule="auto"/>
      </w:pPr>
      <w:r>
        <w:rPr>
          <w:rFonts w:ascii="Calibri" w:hAnsi="Calibri" w:eastAsia="Calibri" w:cs="Calibri"/>
          <w:color w:val="111111"/>
          <w:sz w:val="22"/>
        </w:rPr>
        <w:t>Apply conservative costs and latency. Use quote-based executable references where possible, not bar-close fantasy fills.</w:t>
      </w:r>
    </w:p>
    <w:p>
      <w:pPr>
        <w:keepLines/>
        <w:numPr>
          <w:ilvl w:val="0"/>
          <w:numId w:val="18"/>
        </w:numPr>
        <w:spacing w:after="80" w:line="300" w:lineRule="auto"/>
      </w:pPr>
      <w:r>
        <w:rPr>
          <w:rFonts w:ascii="Calibri" w:hAnsi="Calibri" w:eastAsia="Calibri" w:cs="Calibri"/>
          <w:color w:val="111111"/>
          <w:sz w:val="22"/>
        </w:rPr>
        <w:t>Run negative controls, ablations, regime/session breakdowns, multiple-testing correction, and block bootstrap confidence intervals.</w:t>
      </w:r>
    </w:p>
    <w:p>
      <w:pPr>
        <w:keepLines/>
        <w:numPr>
          <w:ilvl w:val="0"/>
          <w:numId w:val="18"/>
        </w:numPr>
        <w:spacing w:after="80" w:line="300" w:lineRule="auto"/>
      </w:pPr>
      <w:r>
        <w:rPr>
          <w:rFonts w:ascii="Calibri" w:hAnsi="Calibri" w:eastAsia="Calibri" w:cs="Calibri"/>
          <w:color w:val="111111"/>
          <w:sz w:val="22"/>
        </w:rPr>
        <w:t>Lock artifacts, then evaluate the untouched final period once. Continue with forward shadow rather than repeatedly tuning on that test set.</w:t>
      </w:r>
    </w:p>
    <w:p>
      <w:pPr>
        <w:pStyle w:val="Heading2"/>
        <w:keepNext/>
      </w:pPr>
      <w:r>
        <w:t>10.2 Leakage and false-discovery tests</w:t>
      </w:r>
    </w:p>
    <w:tbl>
      <w:tblPr>
        <w:tblW w:type="dxa" w:w="9360"/>
        <w:tblLayout w:type="fixed"/>
        <w:tblLook w:firstColumn="1" w:firstRow="1" w:lastColumn="0" w:lastRow="0" w:noHBand="0" w:noVBand="1" w:val="04A0"/>
        <w:jc w:val="left"/>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200"/>
        <w:gridCol w:w="7160"/>
      </w:tblGrid>
      <w:tr>
        <w:trPr>
          <w:tblHeader w:val="true"/>
        </w:trPr>
        <w:tc>
          <w:tcPr>
            <w:tcW w:type="dxa" w:w="2200"/>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7"/>
              </w:rPr>
              <w:t>Test</w:t>
            </w:r>
          </w:p>
        </w:tc>
        <w:tc>
          <w:tcPr>
            <w:tcW w:type="dxa" w:w="7160"/>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7"/>
              </w:rPr>
              <w:t>Required behavior</w:t>
            </w:r>
          </w:p>
        </w:tc>
      </w:tr>
      <w:tr>
        <w:tc>
          <w:tcPr>
            <w:tcW w:type="dxa" w:w="22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Future shift</w:t>
            </w:r>
          </w:p>
        </w:tc>
        <w:tc>
          <w:tcPr>
            <w:tcW w:type="dxa" w:w="716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Deliberately shift features forward; pipeline must detect/flag impossible skill</w:t>
            </w:r>
          </w:p>
        </w:tc>
      </w:tr>
      <w:tr>
        <w:tc>
          <w:tcPr>
            <w:tcW w:type="dxa" w:w="22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Label shuffle</w:t>
            </w:r>
          </w:p>
        </w:tc>
        <w:tc>
          <w:tcPr>
            <w:tcW w:type="dxa" w:w="716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Performance must collapse to chance within statistical tolerance</w:t>
            </w:r>
          </w:p>
        </w:tc>
      </w:tr>
      <w:tr>
        <w:tc>
          <w:tcPr>
            <w:tcW w:type="dxa" w:w="22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Timestamp permutation</w:t>
            </w:r>
          </w:p>
        </w:tc>
        <w:tc>
          <w:tcPr>
            <w:tcW w:type="dxa" w:w="716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Any retained skill triggers a time-alignment investigation</w:t>
            </w:r>
          </w:p>
        </w:tc>
      </w:tr>
      <w:tr>
        <w:tc>
          <w:tcPr>
            <w:tcW w:type="dxa" w:w="22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Viterbi comparison</w:t>
            </w:r>
          </w:p>
        </w:tc>
        <w:tc>
          <w:tcPr>
            <w:tcW w:type="dxa" w:w="716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Smoothed-state advantage is diagnostic only and cannot enter live artifacts</w:t>
            </w:r>
          </w:p>
        </w:tc>
      </w:tr>
      <w:tr>
        <w:tc>
          <w:tcPr>
            <w:tcW w:type="dxa" w:w="22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Universe survivorship</w:t>
            </w:r>
          </w:p>
        </w:tc>
        <w:tc>
          <w:tcPr>
            <w:tcW w:type="dxa" w:w="716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Delisted/changed symbols and point-in-time eligibility are represented</w:t>
            </w:r>
          </w:p>
        </w:tc>
      </w:tr>
      <w:tr>
        <w:tc>
          <w:tcPr>
            <w:tcW w:type="dxa" w:w="22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Parameter sweep</w:t>
            </w:r>
          </w:p>
        </w:tc>
        <w:tc>
          <w:tcPr>
            <w:tcW w:type="dxa" w:w="716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All tried variants recorded; FDR/deflated Sharpe or equivalent adjustment applied</w:t>
            </w:r>
          </w:p>
        </w:tc>
      </w:tr>
      <w:tr>
        <w:tc>
          <w:tcPr>
            <w:tcW w:type="dxa" w:w="22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Cost stress</w:t>
            </w:r>
          </w:p>
        </w:tc>
        <w:tc>
          <w:tcPr>
            <w:tcW w:type="dxa" w:w="716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Results shown at base, 1.5x, and 2x cost assumptions</w:t>
            </w:r>
          </w:p>
        </w:tc>
      </w:tr>
      <w:tr>
        <w:tc>
          <w:tcPr>
            <w:tcW w:type="dxa" w:w="22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Latency stress</w:t>
            </w:r>
          </w:p>
        </w:tc>
        <w:tc>
          <w:tcPr>
            <w:tcW w:type="dxa" w:w="716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Replay with measured p50/p95/p99 publication delay</w:t>
            </w:r>
          </w:p>
        </w:tc>
      </w:tr>
    </w:tbl>
    <w:p>
      <w:pPr>
        <w:spacing w:after="40"/>
      </w:pPr>
    </w:p>
    <w:p>
      <w:pPr>
        <w:pStyle w:val="Heading2"/>
        <w:keepNext/>
      </w:pPr>
      <w:r>
        <w:t>10.3 Required report slices</w:t>
      </w:r>
    </w:p>
    <w:p>
      <w:pPr>
        <w:keepLines/>
        <w:numPr>
          <w:ilvl w:val="0"/>
          <w:numId w:val="19"/>
        </w:numPr>
        <w:spacing w:after="80" w:line="300" w:lineRule="auto"/>
      </w:pPr>
      <w:r>
        <w:rPr>
          <w:rFonts w:ascii="Calibri" w:hAnsi="Calibri" w:eastAsia="Calibri" w:cs="Calibri"/>
          <w:color w:val="111111"/>
          <w:sz w:val="22"/>
        </w:rPr>
        <w:t>Symbol, horizon, year/quarter/month, session bucket, volatility regime, trend regime, event regime, and liquidity decile.</w:t>
      </w:r>
    </w:p>
    <w:p>
      <w:pPr>
        <w:keepLines/>
        <w:numPr>
          <w:ilvl w:val="0"/>
          <w:numId w:val="19"/>
        </w:numPr>
        <w:spacing w:after="80" w:line="300" w:lineRule="auto"/>
      </w:pPr>
      <w:r>
        <w:rPr>
          <w:rFonts w:ascii="Calibri" w:hAnsi="Calibri" w:eastAsia="Calibri" w:cs="Calibri"/>
          <w:color w:val="111111"/>
          <w:sz w:val="22"/>
        </w:rPr>
        <w:t>All predictions, eligible predictions, published predictions, abstentions, failures, and their exact denominators.</w:t>
      </w:r>
    </w:p>
    <w:p>
      <w:pPr>
        <w:keepLines/>
        <w:numPr>
          <w:ilvl w:val="0"/>
          <w:numId w:val="19"/>
        </w:numPr>
        <w:spacing w:after="80" w:line="300" w:lineRule="auto"/>
      </w:pPr>
      <w:r>
        <w:rPr>
          <w:rFonts w:ascii="Calibri" w:hAnsi="Calibri" w:eastAsia="Calibri" w:cs="Calibri"/>
          <w:color w:val="111111"/>
          <w:sz w:val="22"/>
        </w:rPr>
        <w:t>Probability calibration, return distribution accuracy, cost-adjusted expectancy, drawdown, turnover, and tail loss.</w:t>
      </w:r>
    </w:p>
    <w:p>
      <w:pPr>
        <w:keepLines/>
        <w:numPr>
          <w:ilvl w:val="0"/>
          <w:numId w:val="19"/>
        </w:numPr>
        <w:spacing w:after="80" w:line="300" w:lineRule="auto"/>
      </w:pPr>
      <w:r>
        <w:rPr>
          <w:rFonts w:ascii="Calibri" w:hAnsi="Calibri" w:eastAsia="Calibri" w:cs="Calibri"/>
          <w:color w:val="111111"/>
          <w:sz w:val="22"/>
        </w:rPr>
        <w:t>Analogue effective-N and distance quality; HMM state occupancy and transition stability.</w:t>
      </w:r>
    </w:p>
    <w:p>
      <w:pPr>
        <w:keepLines/>
        <w:numPr>
          <w:ilvl w:val="0"/>
          <w:numId w:val="19"/>
        </w:numPr>
        <w:spacing w:after="80" w:line="300" w:lineRule="auto"/>
      </w:pPr>
      <w:r>
        <w:rPr>
          <w:rFonts w:ascii="Calibri" w:hAnsi="Calibri" w:eastAsia="Calibri" w:cs="Calibri"/>
          <w:color w:val="111111"/>
          <w:sz w:val="22"/>
        </w:rPr>
        <w:t>Baseline deltas and feature-family/model ablations with confidence intervals.</w:t>
      </w:r>
    </w:p>
    <w:p>
      <w:pPr>
        <w:spacing w:before="60" w:after="160" w:line="276" w:lineRule="auto"/>
        <w:ind w:left="115" w:right="115"/>
        <w:shd w:fill="FBEAEA"/>
        <w:pBdr>
          <w:top w:val="single" w:sz="4" w:space="6" w:color="FBEAEA"/>
          <w:left w:val="single" w:sz="4" w:space="6" w:color="FBEAEA"/>
          <w:bottom w:val="single" w:sz="4" w:space="6" w:color="FBEAEA"/>
          <w:right w:val="single" w:sz="4" w:space="6" w:color="FBEAEA"/>
        </w:pBdr>
      </w:pPr>
      <w:r>
        <w:rPr>
          <w:rFonts w:ascii="Calibri" w:hAnsi="Calibri" w:eastAsia="Calibri" w:cs="Calibri"/>
          <w:b/>
          <w:color w:val="9B1C1C"/>
          <w:sz w:val="21"/>
        </w:rPr>
        <w:t xml:space="preserve">KNOWN LIMITATION  </w:t>
      </w:r>
      <w:r>
        <w:rPr>
          <w:rFonts w:ascii="Calibri" w:hAnsi="Calibri" w:eastAsia="Calibri" w:cs="Calibri"/>
          <w:color w:val="111111"/>
          <w:sz w:val="21"/>
        </w:rPr>
        <w:t>The existing 1,521,361-row / 501-session exploratory run produced 4,940 candidates but only two released cases. That is useful for pipeline debugging, not a validated edge. Production promotion requires enough independent forward observations to estimate error bars.</w:t>
      </w:r>
    </w:p>
    <w:p>
      <w:pPr>
        <w:pStyle w:val="Heading1"/>
        <w:keepNext/>
      </w:pPr>
      <w:r>
        <w:t>11. Model Promotion Gates</w:t>
      </w:r>
    </w:p>
    <w:p>
      <w:pPr>
        <w:spacing w:after="120" w:line="300" w:lineRule="auto"/>
      </w:pPr>
      <w:r>
        <w:rPr>
          <w:rFonts w:ascii="Calibri" w:hAnsi="Calibri" w:eastAsia="Calibri" w:cs="Calibri"/>
          <w:i w:val="0"/>
          <w:color w:val="111111"/>
          <w:sz w:val="22"/>
        </w:rPr>
        <w:t>Thresholds are minimum eligibility gates, not optimization targets. Passing them does not guarantee profitability; failing any hard gate blocks promotion.</w:t>
      </w:r>
    </w:p>
    <w:tbl>
      <w:tblPr>
        <w:tblW w:type="dxa" w:w="9360"/>
        <w:tblLayout w:type="fixed"/>
        <w:tblLook w:firstColumn="1" w:firstRow="1" w:lastColumn="0" w:lastRow="0" w:noHBand="0" w:noVBand="1" w:val="04A0"/>
        <w:jc w:val="left"/>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900"/>
        <w:gridCol w:w="3600"/>
        <w:gridCol w:w="3860"/>
      </w:tblGrid>
      <w:tr>
        <w:trPr>
          <w:tblHeader w:val="true"/>
        </w:trPr>
        <w:tc>
          <w:tcPr>
            <w:tcW w:type="dxa" w:w="1900"/>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6"/>
              </w:rPr>
              <w:t>Gate</w:t>
            </w:r>
          </w:p>
        </w:tc>
        <w:tc>
          <w:tcPr>
            <w:tcW w:type="dxa" w:w="3600"/>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6"/>
              </w:rPr>
              <w:t>Candidate minimum</w:t>
            </w:r>
          </w:p>
        </w:tc>
        <w:tc>
          <w:tcPr>
            <w:tcW w:type="dxa" w:w="3860"/>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6"/>
              </w:rPr>
              <w:t>Promoted minimum</w:t>
            </w:r>
          </w:p>
        </w:tc>
      </w:tr>
      <w:tr>
        <w:tc>
          <w:tcPr>
            <w:tcW w:type="dxa" w:w="1900"/>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Reproducibility</w:t>
            </w:r>
          </w:p>
        </w:tc>
        <w:tc>
          <w:tcPr>
            <w:tcW w:type="dxa" w:w="3600"/>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Deterministic rerun within tolerance</w:t>
            </w:r>
          </w:p>
        </w:tc>
        <w:tc>
          <w:tcPr>
            <w:tcW w:type="dxa" w:w="3860"/>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Byte/version-identical artifact lineage</w:t>
            </w:r>
          </w:p>
        </w:tc>
      </w:tr>
      <w:tr>
        <w:tc>
          <w:tcPr>
            <w:tcW w:type="dxa" w:w="19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OOS history</w:t>
            </w:r>
          </w:p>
        </w:tc>
        <w:tc>
          <w:tcPr>
            <w:tcW w:type="dxa" w:w="36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&gt;=6 months and &gt;=3 walk-forward folds</w:t>
            </w:r>
          </w:p>
        </w:tc>
        <w:tc>
          <w:tcPr>
            <w:tcW w:type="dxa" w:w="386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&gt;=12 months plus untouched final block where data permits</w:t>
            </w:r>
          </w:p>
        </w:tc>
      </w:tr>
      <w:tr>
        <w:tc>
          <w:tcPr>
            <w:tcW w:type="dxa" w:w="1900"/>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Signal sample</w:t>
            </w:r>
          </w:p>
        </w:tc>
        <w:tc>
          <w:tcPr>
            <w:tcW w:type="dxa" w:w="3600"/>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&gt;=200 eligible OOS forecasts per horizon</w:t>
            </w:r>
          </w:p>
        </w:tc>
        <w:tc>
          <w:tcPr>
            <w:tcW w:type="dxa" w:w="3860"/>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&gt;=500 published/gated forecasts or documented power analysis</w:t>
            </w:r>
          </w:p>
        </w:tc>
      </w:tr>
      <w:tr>
        <w:tc>
          <w:tcPr>
            <w:tcW w:type="dxa" w:w="19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Probability skill</w:t>
            </w:r>
          </w:p>
        </w:tc>
        <w:tc>
          <w:tcPr>
            <w:tcW w:type="dxa" w:w="36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Brier skill &gt;0 vs base rate</w:t>
            </w:r>
          </w:p>
        </w:tc>
        <w:tc>
          <w:tcPr>
            <w:tcW w:type="dxa" w:w="386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Positive in &gt;=3 independent blocks; ECE &lt;=0.03 target</w:t>
            </w:r>
          </w:p>
        </w:tc>
      </w:tr>
      <w:tr>
        <w:tc>
          <w:tcPr>
            <w:tcW w:type="dxa" w:w="1900"/>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Distribution skill</w:t>
            </w:r>
          </w:p>
        </w:tc>
        <w:tc>
          <w:tcPr>
            <w:tcW w:type="dxa" w:w="3600"/>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CRPS improves vs B0</w:t>
            </w:r>
          </w:p>
        </w:tc>
        <w:tc>
          <w:tcPr>
            <w:tcW w:type="dxa" w:w="3860"/>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&gt;=2% aggregate improvement and non-negative key slices</w:t>
            </w:r>
          </w:p>
        </w:tc>
      </w:tr>
      <w:tr>
        <w:tc>
          <w:tcPr>
            <w:tcW w:type="dxa" w:w="19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Economic skill</w:t>
            </w:r>
          </w:p>
        </w:tc>
        <w:tc>
          <w:tcPr>
            <w:tcW w:type="dxa" w:w="36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Positive net expectancy at base cost</w:t>
            </w:r>
          </w:p>
        </w:tc>
        <w:tc>
          <w:tcPr>
            <w:tcW w:type="dxa" w:w="386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95% block-bootstrap lower bound &gt;0 at base; survives 1.5x costs</w:t>
            </w:r>
          </w:p>
        </w:tc>
      </w:tr>
      <w:tr>
        <w:tc>
          <w:tcPr>
            <w:tcW w:type="dxa" w:w="1900"/>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Interval coverage</w:t>
            </w:r>
          </w:p>
        </w:tc>
        <w:tc>
          <w:tcPr>
            <w:tcW w:type="dxa" w:w="3600"/>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80/90% intervals monitored</w:t>
            </w:r>
          </w:p>
        </w:tc>
        <w:tc>
          <w:tcPr>
            <w:tcW w:type="dxa" w:w="3860"/>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80%: 77-83%; 90%: 87-93% aggregate</w:t>
            </w:r>
          </w:p>
        </w:tc>
      </w:tr>
      <w:tr>
        <w:tc>
          <w:tcPr>
            <w:tcW w:type="dxa" w:w="19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Robustness</w:t>
            </w:r>
          </w:p>
        </w:tc>
        <w:tc>
          <w:tcPr>
            <w:tcW w:type="dxa" w:w="36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Negative controls pass</w:t>
            </w:r>
          </w:p>
        </w:tc>
        <w:tc>
          <w:tcPr>
            <w:tcW w:type="dxa" w:w="386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Ablation, FDR, cost/latency stress pass</w:t>
            </w:r>
          </w:p>
        </w:tc>
      </w:tr>
      <w:tr>
        <w:tc>
          <w:tcPr>
            <w:tcW w:type="dxa" w:w="1900"/>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Forward shadow</w:t>
            </w:r>
          </w:p>
        </w:tc>
        <w:tc>
          <w:tcPr>
            <w:tcW w:type="dxa" w:w="3600"/>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Complete ledger</w:t>
            </w:r>
          </w:p>
        </w:tc>
        <w:tc>
          <w:tcPr>
            <w:tcW w:type="dxa" w:w="3860"/>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&gt;=20 trading sessions and no unresolved Sev-1/2 incidents</w:t>
            </w:r>
          </w:p>
        </w:tc>
      </w:tr>
      <w:tr>
        <w:tc>
          <w:tcPr>
            <w:tcW w:type="dxa" w:w="19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Operations</w:t>
            </w:r>
          </w:p>
        </w:tc>
        <w:tc>
          <w:tcPr>
            <w:tcW w:type="dxa" w:w="36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Replay and health checks</w:t>
            </w:r>
          </w:p>
        </w:tc>
        <w:tc>
          <w:tcPr>
            <w:tcW w:type="dxa" w:w="386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p95 &lt;=5s; fail-closed; rollback tested</w:t>
            </w:r>
          </w:p>
        </w:tc>
      </w:tr>
    </w:tbl>
    <w:p>
      <w:pPr>
        <w:spacing w:after="40"/>
      </w:pPr>
    </w:p>
    <w:p>
      <w:pPr>
        <w:pStyle w:val="Heading2"/>
        <w:keepNext/>
      </w:pPr>
      <w:r>
        <w:t>11.1 Approval record</w:t>
      </w:r>
    </w:p>
    <w:p>
      <w:pPr>
        <w:keepLines/>
        <w:numPr>
          <w:ilvl w:val="0"/>
          <w:numId w:val="20"/>
        </w:numPr>
        <w:spacing w:after="80" w:line="300" w:lineRule="auto"/>
      </w:pPr>
      <w:r>
        <w:rPr>
          <w:rFonts w:ascii="Calibri" w:hAnsi="Calibri" w:eastAsia="Calibri" w:cs="Calibri"/>
          <w:color w:val="111111"/>
          <w:sz w:val="22"/>
        </w:rPr>
        <w:t>Research owner signs statistical report and known limitations.</w:t>
      </w:r>
    </w:p>
    <w:p>
      <w:pPr>
        <w:keepLines/>
        <w:numPr>
          <w:ilvl w:val="0"/>
          <w:numId w:val="20"/>
        </w:numPr>
        <w:spacing w:after="80" w:line="300" w:lineRule="auto"/>
      </w:pPr>
      <w:r>
        <w:rPr>
          <w:rFonts w:ascii="Calibri" w:hAnsi="Calibri" w:eastAsia="Calibri" w:cs="Calibri"/>
          <w:color w:val="111111"/>
          <w:sz w:val="22"/>
        </w:rPr>
        <w:t>Engineering owner signs deterministic replay, latency, data lineage, and rollback results.</w:t>
      </w:r>
    </w:p>
    <w:p>
      <w:pPr>
        <w:keepLines/>
        <w:numPr>
          <w:ilvl w:val="0"/>
          <w:numId w:val="20"/>
        </w:numPr>
        <w:spacing w:after="80" w:line="300" w:lineRule="auto"/>
      </w:pPr>
      <w:r>
        <w:rPr>
          <w:rFonts w:ascii="Calibri" w:hAnsi="Calibri" w:eastAsia="Calibri" w:cs="Calibri"/>
          <w:color w:val="111111"/>
          <w:sz w:val="22"/>
        </w:rPr>
        <w:t>Risk/product owner signs output language, abstention policy, and customer-surface behavior.</w:t>
      </w:r>
    </w:p>
    <w:p>
      <w:pPr>
        <w:keepLines/>
        <w:numPr>
          <w:ilvl w:val="0"/>
          <w:numId w:val="20"/>
        </w:numPr>
        <w:spacing w:after="80" w:line="300" w:lineRule="auto"/>
      </w:pPr>
      <w:r>
        <w:rPr>
          <w:rFonts w:ascii="Calibri" w:hAnsi="Calibri" w:eastAsia="Calibri" w:cs="Calibri"/>
          <w:color w:val="111111"/>
          <w:sz w:val="22"/>
        </w:rPr>
        <w:t>Promotion record references immutable model, feature, calibration, data, and policy versions.</w:t>
      </w:r>
    </w:p>
    <w:p>
      <w:pPr>
        <w:pStyle w:val="Heading1"/>
        <w:keepNext/>
      </w:pPr>
      <w:r>
        <w:t>12. Production Architecture and SLOs</w:t>
      </w:r>
    </w:p>
    <w:p>
      <w:pPr>
        <w:pStyle w:val="Heading2"/>
        <w:keepNext/>
      </w:pPr>
      <w:r>
        <w:t>12.1 Runtime ownership</w:t>
      </w:r>
    </w:p>
    <w:tbl>
      <w:tblPr>
        <w:tblW w:type="dxa" w:w="9360"/>
        <w:tblLayout w:type="fixed"/>
        <w:tblLook w:firstColumn="1" w:firstRow="1" w:lastColumn="0" w:lastRow="0" w:noHBand="0" w:noVBand="1" w:val="04A0"/>
        <w:jc w:val="left"/>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900"/>
        <w:gridCol w:w="3200"/>
        <w:gridCol w:w="4260"/>
      </w:tblGrid>
      <w:tr>
        <w:trPr>
          <w:tblHeader w:val="true"/>
        </w:trPr>
        <w:tc>
          <w:tcPr>
            <w:tcW w:type="dxa" w:w="1900"/>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7"/>
              </w:rPr>
              <w:t>Layer</w:t>
            </w:r>
          </w:p>
        </w:tc>
        <w:tc>
          <w:tcPr>
            <w:tcW w:type="dxa" w:w="3200"/>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7"/>
              </w:rPr>
              <w:t>Owner technology</w:t>
            </w:r>
          </w:p>
        </w:tc>
        <w:tc>
          <w:tcPr>
            <w:tcW w:type="dxa" w:w="4260"/>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7"/>
              </w:rPr>
              <w:t>Hard boundary</w:t>
            </w:r>
          </w:p>
        </w:tc>
      </w:tr>
      <w:tr>
        <w:tc>
          <w:tcPr>
            <w:tcW w:type="dxa" w:w="19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Market adapters / inference</w:t>
            </w:r>
          </w:p>
        </w:tc>
        <w:tc>
          <w:tcPr>
            <w:tcW w:type="dxa" w:w="32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Rust/Axum</w:t>
            </w:r>
          </w:p>
        </w:tc>
        <w:tc>
          <w:tcPr>
            <w:tcW w:type="dxa" w:w="426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Canonical production system of record</w:t>
            </w:r>
          </w:p>
        </w:tc>
      </w:tr>
      <w:tr>
        <w:tc>
          <w:tcPr>
            <w:tcW w:type="dxa" w:w="19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Offline research/training</w:t>
            </w:r>
          </w:p>
        </w:tc>
        <w:tc>
          <w:tcPr>
            <w:tcW w:type="dxa" w:w="32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Python</w:t>
            </w:r>
          </w:p>
        </w:tc>
        <w:tc>
          <w:tcPr>
            <w:tcW w:type="dxa" w:w="426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Cannot serve customer forecasts directly</w:t>
            </w:r>
          </w:p>
        </w:tc>
      </w:tr>
      <w:tr>
        <w:tc>
          <w:tcPr>
            <w:tcW w:type="dxa" w:w="19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Decoder / performance hotspot</w:t>
            </w:r>
          </w:p>
        </w:tc>
        <w:tc>
          <w:tcPr>
            <w:tcW w:type="dxa" w:w="32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C++</w:t>
            </w:r>
          </w:p>
        </w:tc>
        <w:tc>
          <w:tcPr>
            <w:tcW w:type="dxa" w:w="426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Only measured bottlenecks; explicit FFI contract</w:t>
            </w:r>
          </w:p>
        </w:tc>
      </w:tr>
      <w:tr>
        <w:tc>
          <w:tcPr>
            <w:tcW w:type="dxa" w:w="19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Ledger/accounting</w:t>
            </w:r>
          </w:p>
        </w:tc>
        <w:tc>
          <w:tcPr>
            <w:tcW w:type="dxa" w:w="32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Append-only ledger; existing Perl/SQLite may remain</w:t>
            </w:r>
          </w:p>
        </w:tc>
        <w:tc>
          <w:tcPr>
            <w:tcW w:type="dxa" w:w="426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No forecast overwrite</w:t>
            </w:r>
          </w:p>
        </w:tc>
      </w:tr>
      <w:tr>
        <w:tc>
          <w:tcPr>
            <w:tcW w:type="dxa" w:w="19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Web</w:t>
            </w:r>
          </w:p>
        </w:tc>
        <w:tc>
          <w:tcPr>
            <w:tcW w:type="dxa" w:w="32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Next.js/TypeScript</w:t>
            </w:r>
          </w:p>
        </w:tc>
        <w:tc>
          <w:tcPr>
            <w:tcW w:type="dxa" w:w="426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Presentation and server-side proxy only</w:t>
            </w:r>
          </w:p>
        </w:tc>
      </w:tr>
      <w:tr>
        <w:tc>
          <w:tcPr>
            <w:tcW w:type="dxa" w:w="19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LLM/agents</w:t>
            </w:r>
          </w:p>
        </w:tc>
        <w:tc>
          <w:tcPr>
            <w:tcW w:type="dxa" w:w="32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Provider-agnostic optional layer</w:t>
            </w:r>
          </w:p>
        </w:tc>
        <w:tc>
          <w:tcPr>
            <w:tcW w:type="dxa" w:w="426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Explanations/workflows; no numeric authority</w:t>
            </w:r>
          </w:p>
        </w:tc>
      </w:tr>
    </w:tbl>
    <w:p>
      <w:pPr>
        <w:spacing w:after="40"/>
      </w:pPr>
    </w:p>
    <w:p>
      <w:pPr>
        <w:pStyle w:val="Heading2"/>
        <w:keepNext/>
      </w:pPr>
      <w:r>
        <w:t>12.2 Inference concurrency</w:t>
      </w:r>
    </w:p>
    <w:p>
      <w:pPr>
        <w:spacing w:after="120" w:line="300" w:lineRule="auto"/>
      </w:pPr>
      <w:r>
        <w:rPr>
          <w:rFonts w:ascii="Calibri" w:hAnsi="Calibri" w:eastAsia="Calibri" w:cs="Calibri"/>
          <w:i w:val="0"/>
          <w:color w:val="111111"/>
          <w:sz w:val="22"/>
        </w:rPr>
        <w:t>When a finalized bar arrives, all eligible symbol/horizon computations must fan out concurrently under bounded resource limits. The prior serial pattern - where AAPL completed around 3.35 seconds but later symbols reached roughly 6-26 seconds - is prohibited. Publication waits only for that prediction's dependencies, not the entire universe.</w:t>
      </w:r>
    </w:p>
    <w:p>
      <w:pPr>
        <w:pStyle w:val="Heading2"/>
        <w:keepNext/>
      </w:pPr>
      <w:r>
        <w:t>12.3 Service-level objectives</w:t>
      </w:r>
    </w:p>
    <w:tbl>
      <w:tblPr>
        <w:tblW w:type="dxa" w:w="9360"/>
        <w:tblLayout w:type="fixed"/>
        <w:tblLook w:firstColumn="1" w:firstRow="1" w:lastColumn="0" w:lastRow="0" w:noHBand="0" w:noVBand="1" w:val="04A0"/>
        <w:jc w:val="left"/>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300"/>
        <w:gridCol w:w="3500"/>
        <w:gridCol w:w="3560"/>
      </w:tblGrid>
      <w:tr>
        <w:trPr>
          <w:tblHeader w:val="true"/>
        </w:trPr>
        <w:tc>
          <w:tcPr>
            <w:tcW w:type="dxa" w:w="2300"/>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7"/>
              </w:rPr>
              <w:t>SLO</w:t>
            </w:r>
          </w:p>
        </w:tc>
        <w:tc>
          <w:tcPr>
            <w:tcW w:type="dxa" w:w="3500"/>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7"/>
              </w:rPr>
              <w:t>Target</w:t>
            </w:r>
          </w:p>
        </w:tc>
        <w:tc>
          <w:tcPr>
            <w:tcW w:type="dxa" w:w="3560"/>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7"/>
              </w:rPr>
              <w:t>Fail behavior</w:t>
            </w:r>
          </w:p>
        </w:tc>
      </w:tr>
      <w:tr>
        <w:tc>
          <w:tcPr>
            <w:tcW w:type="dxa" w:w="23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Bar-to-envelope latency</w:t>
            </w:r>
          </w:p>
        </w:tc>
        <w:tc>
          <w:tcPr>
            <w:tcW w:type="dxa" w:w="35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p50 &lt;=2s; p95 &lt;=5s; p99 &lt;=8s</w:t>
            </w:r>
          </w:p>
        </w:tc>
        <w:tc>
          <w:tcPr>
            <w:tcW w:type="dxa" w:w="356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WITHHOLD after policy deadline</w:t>
            </w:r>
          </w:p>
        </w:tc>
      </w:tr>
      <w:tr>
        <w:tc>
          <w:tcPr>
            <w:tcW w:type="dxa" w:w="23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Availability</w:t>
            </w:r>
          </w:p>
        </w:tc>
        <w:tc>
          <w:tcPr>
            <w:tcW w:type="dxa" w:w="35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&gt;=99.9% during configured market session</w:t>
            </w:r>
          </w:p>
        </w:tc>
        <w:tc>
          <w:tcPr>
            <w:tcW w:type="dxa" w:w="356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Status page + incident</w:t>
            </w:r>
          </w:p>
        </w:tc>
      </w:tr>
      <w:tr>
        <w:tc>
          <w:tcPr>
            <w:tcW w:type="dxa" w:w="23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Data freshness</w:t>
            </w:r>
          </w:p>
        </w:tc>
        <w:tc>
          <w:tcPr>
            <w:tcW w:type="dxa" w:w="35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Within source/session-specific limit</w:t>
            </w:r>
          </w:p>
        </w:tc>
        <w:tc>
          <w:tcPr>
            <w:tcW w:type="dxa" w:w="356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No stale forecast</w:t>
            </w:r>
          </w:p>
        </w:tc>
      </w:tr>
      <w:tr>
        <w:tc>
          <w:tcPr>
            <w:tcW w:type="dxa" w:w="23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Replay parity</w:t>
            </w:r>
          </w:p>
        </w:tc>
        <w:tc>
          <w:tcPr>
            <w:tcW w:type="dxa" w:w="35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Online/offline output match within declared float tolerance</w:t>
            </w:r>
          </w:p>
        </w:tc>
        <w:tc>
          <w:tcPr>
            <w:tcW w:type="dxa" w:w="356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Block release</w:t>
            </w:r>
          </w:p>
        </w:tc>
      </w:tr>
      <w:tr>
        <w:tc>
          <w:tcPr>
            <w:tcW w:type="dxa" w:w="23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Ledger completeness</w:t>
            </w:r>
          </w:p>
        </w:tc>
        <w:tc>
          <w:tcPr>
            <w:tcW w:type="dxa" w:w="35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100% of triggers produce forecast or reason-coded failure</w:t>
            </w:r>
          </w:p>
        </w:tc>
        <w:tc>
          <w:tcPr>
            <w:tcW w:type="dxa" w:w="356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Sev-2</w:t>
            </w:r>
          </w:p>
        </w:tc>
      </w:tr>
      <w:tr>
        <w:tc>
          <w:tcPr>
            <w:tcW w:type="dxa" w:w="23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Rollback</w:t>
            </w:r>
          </w:p>
        </w:tc>
        <w:tc>
          <w:tcPr>
            <w:tcW w:type="dxa" w:w="35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Prior artifact restored &lt;=10 minutes</w:t>
            </w:r>
          </w:p>
        </w:tc>
        <w:tc>
          <w:tcPr>
            <w:tcW w:type="dxa" w:w="356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Incident commander procedure</w:t>
            </w:r>
          </w:p>
        </w:tc>
      </w:tr>
    </w:tbl>
    <w:p>
      <w:pPr>
        <w:spacing w:after="40"/>
      </w:pPr>
    </w:p>
    <w:p>
      <w:pPr>
        <w:pStyle w:val="Heading2"/>
        <w:keepNext/>
      </w:pPr>
      <w:r>
        <w:t>12.4 Versioned artifact contract</w:t>
      </w:r>
    </w:p>
    <w:p>
      <w:pPr>
        <w:spacing w:before="60" w:after="160" w:line="240" w:lineRule="auto"/>
        <w:ind w:left="115" w:right="115"/>
        <w:shd w:fill="F7F8FA"/>
        <w:pBdr>
          <w:top w:val="single" w:sz="4" w:space="6" w:color="D7DBE2"/>
          <w:left w:val="single" w:sz="4" w:space="6" w:color="D7DBE2"/>
          <w:bottom w:val="single" w:sz="4" w:space="6" w:color="D7DBE2"/>
          <w:right w:val="single" w:sz="4" w:space="6" w:color="D7DBE2"/>
        </w:pBdr>
      </w:pPr>
      <w:r>
        <w:rPr>
          <w:rFonts w:ascii="DejaVu Sans Mono" w:hAnsi="DejaVu Sans Mono" w:eastAsia="DejaVu Sans Mono" w:cs="DejaVu Sans Mono"/>
          <w:color w:val="27313D"/>
          <w:sz w:val="16"/>
        </w:rPr>
        <w:t>release_manifest = {</w:t>
        <w:br/>
        <w:t xml:space="preserve">  code_commit, container_digest, raw_schema_versions, feature_set_version,</w:t>
        <w:br/>
        <w:t xml:space="preserve">  model_binary_hash, hmm_artifact_hash, kernel_index_hash, ensemble_hash,</w:t>
        <w:br/>
        <w:t xml:space="preserve">  calibration_hash, cost_model_version, risk_policy_version, universe_version,</w:t>
        <w:br/>
        <w:t xml:space="preserve">  training_cutoff, training_manifest_hash, validation_report_id, approvals</w:t>
        <w:br/>
        <w:t>}</w:t>
      </w:r>
    </w:p>
    <w:p>
      <w:pPr>
        <w:pStyle w:val="Heading1"/>
        <w:keepNext/>
      </w:pPr>
      <w:r>
        <w:t>13. Product and UI Requirements</w:t>
      </w:r>
    </w:p>
    <w:p>
      <w:pPr>
        <w:pStyle w:val="Heading2"/>
        <w:keepNext/>
      </w:pPr>
      <w:r>
        <w:t>13.1 Primary forecast card</w:t>
      </w:r>
    </w:p>
    <w:p>
      <w:pPr>
        <w:keepLines/>
        <w:numPr>
          <w:ilvl w:val="0"/>
          <w:numId w:val="21"/>
        </w:numPr>
        <w:spacing w:after="80" w:line="300" w:lineRule="auto"/>
      </w:pPr>
      <w:r>
        <w:rPr>
          <w:rFonts w:ascii="Calibri" w:hAnsi="Calibri" w:eastAsia="Calibri" w:cs="Calibri"/>
          <w:color w:val="111111"/>
          <w:sz w:val="22"/>
        </w:rPr>
        <w:t>Header: symbol, horizon, exact cutoff, source/freshness, model release, and decision status.</w:t>
      </w:r>
    </w:p>
    <w:p>
      <w:pPr>
        <w:keepLines/>
        <w:numPr>
          <w:ilvl w:val="0"/>
          <w:numId w:val="21"/>
        </w:numPr>
        <w:spacing w:after="80" w:line="300" w:lineRule="auto"/>
      </w:pPr>
      <w:r>
        <w:rPr>
          <w:rFonts w:ascii="Calibri" w:hAnsi="Calibri" w:eastAsia="Calibri" w:cs="Calibri"/>
          <w:color w:val="111111"/>
          <w:sz w:val="22"/>
        </w:rPr>
        <w:t>Center: return-distribution chart with zero and cost threshold, median, 80/90% intervals, and P(positive after cost).</w:t>
      </w:r>
    </w:p>
    <w:p>
      <w:pPr>
        <w:keepLines/>
        <w:numPr>
          <w:ilvl w:val="0"/>
          <w:numId w:val="21"/>
        </w:numPr>
        <w:spacing w:after="80" w:line="300" w:lineRule="auto"/>
      </w:pPr>
      <w:r>
        <w:rPr>
          <w:rFonts w:ascii="Calibri" w:hAnsi="Calibri" w:eastAsia="Calibri" w:cs="Calibri"/>
          <w:color w:val="111111"/>
          <w:sz w:val="22"/>
        </w:rPr>
        <w:t>Context: HMM regime probabilities, trend/volatility/liquidity labels, event flags, and estimated option positioning.</w:t>
      </w:r>
    </w:p>
    <w:p>
      <w:pPr>
        <w:keepLines/>
        <w:numPr>
          <w:ilvl w:val="0"/>
          <w:numId w:val="21"/>
        </w:numPr>
        <w:spacing w:after="80" w:line="300" w:lineRule="auto"/>
      </w:pPr>
      <w:r>
        <w:rPr>
          <w:rFonts w:ascii="Calibri" w:hAnsi="Calibri" w:eastAsia="Calibri" w:cs="Calibri"/>
          <w:color w:val="111111"/>
          <w:sz w:val="22"/>
        </w:rPr>
        <w:t>Evidence: top historical analogues with dates, state distance, regime compatibility, and realized outcomes; no cherry-picked examples.</w:t>
      </w:r>
    </w:p>
    <w:p>
      <w:pPr>
        <w:keepLines/>
        <w:numPr>
          <w:ilvl w:val="0"/>
          <w:numId w:val="21"/>
        </w:numPr>
        <w:spacing w:after="80" w:line="300" w:lineRule="auto"/>
      </w:pPr>
      <w:r>
        <w:rPr>
          <w:rFonts w:ascii="Calibri" w:hAnsi="Calibri" w:eastAsia="Calibri" w:cs="Calibri"/>
          <w:color w:val="111111"/>
          <w:sz w:val="22"/>
        </w:rPr>
        <w:t>Reliability: sample size/effective N, calibration coverage, OOD score, known limitations, and current health.</w:t>
      </w:r>
    </w:p>
    <w:p>
      <w:pPr>
        <w:keepLines/>
        <w:numPr>
          <w:ilvl w:val="0"/>
          <w:numId w:val="21"/>
        </w:numPr>
        <w:spacing w:after="80" w:line="300" w:lineRule="auto"/>
      </w:pPr>
      <w:r>
        <w:rPr>
          <w:rFonts w:ascii="Calibri" w:hAnsi="Calibri" w:eastAsia="Calibri" w:cs="Calibri"/>
          <w:color w:val="111111"/>
          <w:sz w:val="22"/>
        </w:rPr>
        <w:t>Abstention: prominent reason-coded NO_EDGE/WITHHELD state rather than an empty or misleading bullish/bearish label.</w:t>
      </w:r>
    </w:p>
    <w:p>
      <w:pPr>
        <w:pStyle w:val="Heading2"/>
        <w:keepNext/>
      </w:pPr>
      <w:r>
        <w:t>13.2 Language contract</w:t>
      </w:r>
    </w:p>
    <w:tbl>
      <w:tblPr>
        <w:tblW w:type="dxa" w:w="9360"/>
        <w:tblLayout w:type="fixed"/>
        <w:tblLook w:firstColumn="1" w:firstRow="1" w:lastColumn="0" w:lastRow="0" w:noHBand="0" w:noVBand="1" w:val="04A0"/>
        <w:jc w:val="left"/>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4680"/>
        <w:gridCol w:w="4680"/>
      </w:tblGrid>
      <w:tr>
        <w:trPr>
          <w:tblHeader w:val="true"/>
        </w:trPr>
        <w:tc>
          <w:tcPr>
            <w:tcW w:type="dxa" w:w="4680"/>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7"/>
              </w:rPr>
              <w:t>Allowed</w:t>
            </w:r>
          </w:p>
        </w:tc>
        <w:tc>
          <w:tcPr>
            <w:tcW w:type="dxa" w:w="4680"/>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7"/>
              </w:rPr>
              <w:t>Forbidden</w:t>
            </w:r>
          </w:p>
        </w:tc>
      </w:tr>
      <w:tr>
        <w:tc>
          <w:tcPr>
            <w:tcW w:type="dxa" w:w="468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'Model-estimated probability of a positive 30-minute return after estimated costs: 57%'</w:t>
            </w:r>
          </w:p>
        </w:tc>
        <w:tc>
          <w:tcPr>
            <w:tcW w:type="dxa" w:w="468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'Buy SPY now'</w:t>
            </w:r>
          </w:p>
        </w:tc>
      </w:tr>
      <w:tr>
        <w:tc>
          <w:tcPr>
            <w:tcW w:type="dxa" w:w="468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'The calibrated interval crosses zero; no validated edge is published'</w:t>
            </w:r>
          </w:p>
        </w:tc>
        <w:tc>
          <w:tcPr>
            <w:tcW w:type="dxa" w:w="468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'Guaranteed winner / 80% accurate trade'</w:t>
            </w:r>
          </w:p>
        </w:tc>
      </w:tr>
      <w:tr>
        <w:tc>
          <w:tcPr>
            <w:tcW w:type="dxa" w:w="468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'Estimated gamma concentration may favor pinning under model assumptions'</w:t>
            </w:r>
          </w:p>
        </w:tc>
        <w:tc>
          <w:tcPr>
            <w:tcW w:type="dxa" w:w="468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'Dealers must buy at this level'</w:t>
            </w:r>
          </w:p>
        </w:tc>
      </w:tr>
      <w:tr>
        <w:tc>
          <w:tcPr>
            <w:tcW w:type="dxa" w:w="468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'Research forecast; uncertainty and limitations shown'</w:t>
            </w:r>
          </w:p>
        </w:tc>
        <w:tc>
          <w:tcPr>
            <w:tcW w:type="dxa" w:w="468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Personalized position sizing or order instructions</w:t>
            </w:r>
          </w:p>
        </w:tc>
      </w:tr>
    </w:tbl>
    <w:p>
      <w:pPr>
        <w:spacing w:after="40"/>
      </w:pPr>
    </w:p>
    <w:p>
      <w:pPr>
        <w:pStyle w:val="Heading2"/>
        <w:keepNext/>
      </w:pPr>
      <w:r>
        <w:t>13.3 LLM explanation guardrails</w:t>
      </w:r>
    </w:p>
    <w:p>
      <w:pPr>
        <w:keepLines/>
        <w:numPr>
          <w:ilvl w:val="0"/>
          <w:numId w:val="22"/>
        </w:numPr>
        <w:spacing w:after="80" w:line="300" w:lineRule="auto"/>
      </w:pPr>
      <w:r>
        <w:rPr>
          <w:rFonts w:ascii="Calibri" w:hAnsi="Calibri" w:eastAsia="Calibri" w:cs="Calibri"/>
          <w:color w:val="111111"/>
          <w:sz w:val="22"/>
        </w:rPr>
        <w:t>The explainer receives only the signed EvidenceEnvelope and approved glossary; it cannot query unversioned live data while describing a forecast.</w:t>
      </w:r>
    </w:p>
    <w:p>
      <w:pPr>
        <w:keepLines/>
        <w:numPr>
          <w:ilvl w:val="0"/>
          <w:numId w:val="22"/>
        </w:numPr>
        <w:spacing w:after="80" w:line="300" w:lineRule="auto"/>
      </w:pPr>
      <w:r>
        <w:rPr>
          <w:rFonts w:ascii="Calibri" w:hAnsi="Calibri" w:eastAsia="Calibri" w:cs="Calibri"/>
          <w:color w:val="111111"/>
          <w:sz w:val="22"/>
        </w:rPr>
        <w:t>Every number in prose must be copied from a structured field and mechanically verified before publication.</w:t>
      </w:r>
    </w:p>
    <w:p>
      <w:pPr>
        <w:keepLines/>
        <w:numPr>
          <w:ilvl w:val="0"/>
          <w:numId w:val="22"/>
        </w:numPr>
        <w:spacing w:after="80" w:line="300" w:lineRule="auto"/>
      </w:pPr>
      <w:r>
        <w:rPr>
          <w:rFonts w:ascii="Calibri" w:hAnsi="Calibri" w:eastAsia="Calibri" w:cs="Calibri"/>
          <w:color w:val="111111"/>
          <w:sz w:val="22"/>
        </w:rPr>
        <w:t>The explainer may summarize evidence and caveats, but cannot change decision_status, probability, interval, or reason codes.</w:t>
      </w:r>
    </w:p>
    <w:p>
      <w:pPr>
        <w:keepLines/>
        <w:numPr>
          <w:ilvl w:val="0"/>
          <w:numId w:val="22"/>
        </w:numPr>
        <w:spacing w:after="80" w:line="300" w:lineRule="auto"/>
      </w:pPr>
      <w:r>
        <w:rPr>
          <w:rFonts w:ascii="Calibri" w:hAnsi="Calibri" w:eastAsia="Calibri" w:cs="Calibri"/>
          <w:color w:val="111111"/>
          <w:sz w:val="22"/>
        </w:rPr>
        <w:t>If verification fails or the LLM is unavailable, publish the structured forecast without narrative.</w:t>
      </w:r>
    </w:p>
    <w:p>
      <w:pPr>
        <w:pStyle w:val="Heading1"/>
        <w:keepNext/>
      </w:pPr>
      <w:r>
        <w:t>14. Agents and Research Automation</w:t>
      </w:r>
    </w:p>
    <w:p>
      <w:pPr>
        <w:spacing w:after="120" w:line="300" w:lineRule="auto"/>
      </w:pPr>
      <w:r>
        <w:rPr>
          <w:rFonts w:ascii="Calibri" w:hAnsi="Calibri" w:eastAsia="Calibri" w:cs="Calibri"/>
          <w:i w:val="0"/>
          <w:color w:val="111111"/>
          <w:sz w:val="22"/>
        </w:rPr>
        <w:t>TradingAgents-style orchestration can improve throughput, but multiple LLM personas do not create independent evidence when they read the same data. The production forecast remains deterministic. Agents propose, audit, summarize, and route work; they do not vote a price into existence.</w:t>
      </w:r>
    </w:p>
    <w:tbl>
      <w:tblPr>
        <w:tblW w:type="dxa" w:w="9360"/>
        <w:tblLayout w:type="fixed"/>
        <w:tblLook w:firstColumn="1" w:firstRow="1" w:lastColumn="0" w:lastRow="0" w:noHBand="0" w:noVBand="1" w:val="04A0"/>
        <w:jc w:val="left"/>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800"/>
        <w:gridCol w:w="3780"/>
        <w:gridCol w:w="3780"/>
      </w:tblGrid>
      <w:tr>
        <w:trPr>
          <w:tblHeader w:val="true"/>
        </w:trPr>
        <w:tc>
          <w:tcPr>
            <w:tcW w:type="dxa" w:w="1800"/>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7"/>
              </w:rPr>
              <w:t>Agent</w:t>
            </w:r>
          </w:p>
        </w:tc>
        <w:tc>
          <w:tcPr>
            <w:tcW w:type="dxa" w:w="3780"/>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7"/>
              </w:rPr>
              <w:t>May do</w:t>
            </w:r>
          </w:p>
        </w:tc>
        <w:tc>
          <w:tcPr>
            <w:tcW w:type="dxa" w:w="3780"/>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7"/>
              </w:rPr>
              <w:t>May not do</w:t>
            </w:r>
          </w:p>
        </w:tc>
      </w:tr>
      <w:tr>
        <w:tc>
          <w:tcPr>
            <w:tcW w:type="dxa" w:w="18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Data Quality</w:t>
            </w:r>
          </w:p>
        </w:tc>
        <w:tc>
          <w:tcPr>
            <w:tcW w:type="dxa" w:w="378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Inspect freshness, gaps, schema, late events</w:t>
            </w:r>
          </w:p>
        </w:tc>
        <w:tc>
          <w:tcPr>
            <w:tcW w:type="dxa" w:w="378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Override hard DQ gate</w:t>
            </w:r>
          </w:p>
        </w:tc>
      </w:tr>
      <w:tr>
        <w:tc>
          <w:tcPr>
            <w:tcW w:type="dxa" w:w="18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Research Manager</w:t>
            </w:r>
          </w:p>
        </w:tc>
        <w:tc>
          <w:tcPr>
            <w:tcW w:type="dxa" w:w="378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Create experiment plan and register hypothesis</w:t>
            </w:r>
          </w:p>
        </w:tc>
        <w:tc>
          <w:tcPr>
            <w:tcW w:type="dxa" w:w="378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Inspect final test then rewrite hypothesis</w:t>
            </w:r>
          </w:p>
        </w:tc>
      </w:tr>
      <w:tr>
        <w:tc>
          <w:tcPr>
            <w:tcW w:type="dxa" w:w="18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Model Evaluator</w:t>
            </w:r>
          </w:p>
        </w:tc>
        <w:tc>
          <w:tcPr>
            <w:tcW w:type="dxa" w:w="378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Run standard report, ablations, controls</w:t>
            </w:r>
          </w:p>
        </w:tc>
        <w:tc>
          <w:tcPr>
            <w:tcW w:type="dxa" w:w="378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Promote on one metric</w:t>
            </w:r>
          </w:p>
        </w:tc>
      </w:tr>
      <w:tr>
        <w:tc>
          <w:tcPr>
            <w:tcW w:type="dxa" w:w="18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Risk Gate</w:t>
            </w:r>
          </w:p>
        </w:tc>
        <w:tc>
          <w:tcPr>
            <w:tcW w:type="dxa" w:w="378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Apply versioned deterministic policy</w:t>
            </w:r>
          </w:p>
        </w:tc>
        <w:tc>
          <w:tcPr>
            <w:tcW w:type="dxa" w:w="378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Invent discretionary exception</w:t>
            </w:r>
          </w:p>
        </w:tc>
      </w:tr>
      <w:tr>
        <w:tc>
          <w:tcPr>
            <w:tcW w:type="dxa" w:w="18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Publisher</w:t>
            </w:r>
          </w:p>
        </w:tc>
        <w:tc>
          <w:tcPr>
            <w:tcW w:type="dxa" w:w="378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Validate envelope and route to API/UI</w:t>
            </w:r>
          </w:p>
        </w:tc>
        <w:tc>
          <w:tcPr>
            <w:tcW w:type="dxa" w:w="378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Modify model output</w:t>
            </w:r>
          </w:p>
        </w:tc>
      </w:tr>
      <w:tr>
        <w:tc>
          <w:tcPr>
            <w:tcW w:type="dxa" w:w="18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Narrative Analyst</w:t>
            </w:r>
          </w:p>
        </w:tc>
        <w:tc>
          <w:tcPr>
            <w:tcW w:type="dxa" w:w="378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Explain evidence and caveats</w:t>
            </w:r>
          </w:p>
        </w:tc>
        <w:tc>
          <w:tcPr>
            <w:tcW w:type="dxa" w:w="378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Generate numeric forecast or recommendation</w:t>
            </w:r>
          </w:p>
        </w:tc>
      </w:tr>
    </w:tbl>
    <w:p>
      <w:pPr>
        <w:spacing w:after="40"/>
      </w:pPr>
    </w:p>
    <w:p>
      <w:pPr>
        <w:pStyle w:val="Heading2"/>
        <w:keepNext/>
      </w:pPr>
      <w:r>
        <w:t>14.1 Natural-language research interface</w:t>
      </w:r>
    </w:p>
    <w:p>
      <w:pPr>
        <w:spacing w:after="120" w:line="300" w:lineRule="auto"/>
      </w:pPr>
      <w:r>
        <w:rPr>
          <w:rFonts w:ascii="Calibri" w:hAnsi="Calibri" w:eastAsia="Calibri" w:cs="Calibri"/>
          <w:i w:val="0"/>
          <w:color w:val="111111"/>
          <w:sz w:val="22"/>
        </w:rPr>
        <w:t>A khQuant-like natural-language layer may compile an analyst request into a typed research plan, but execution must use approved data contracts, templates, and tests. Generated code runs in a sandbox, records dependencies, and cannot mark its own result as promoted.</w:t>
      </w:r>
    </w:p>
    <w:p>
      <w:pPr>
        <w:pStyle w:val="Heading1"/>
        <w:keepNext/>
      </w:pPr>
      <w:r>
        <w:t>15. Observability, Security, and Compliance</w:t>
      </w:r>
    </w:p>
    <w:p>
      <w:pPr>
        <w:pStyle w:val="Heading2"/>
        <w:keepNext/>
      </w:pPr>
      <w:r>
        <w:t>15.1 Required counters and traces</w:t>
      </w:r>
    </w:p>
    <w:tbl>
      <w:tblPr>
        <w:tblW w:type="dxa" w:w="9360"/>
        <w:tblLayout w:type="fixed"/>
        <w:tblLook w:firstColumn="1" w:firstRow="1" w:lastColumn="0" w:lastRow="0" w:noHBand="0" w:noVBand="1" w:val="04A0"/>
        <w:jc w:val="left"/>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800"/>
        <w:gridCol w:w="7560"/>
      </w:tblGrid>
      <w:tr>
        <w:trPr>
          <w:tblHeader w:val="true"/>
        </w:trPr>
        <w:tc>
          <w:tcPr>
            <w:tcW w:type="dxa" w:w="1800"/>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7"/>
              </w:rPr>
              <w:t>Domain</w:t>
            </w:r>
          </w:p>
        </w:tc>
        <w:tc>
          <w:tcPr>
            <w:tcW w:type="dxa" w:w="7560"/>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7"/>
              </w:rPr>
              <w:t>Metrics</w:t>
            </w:r>
          </w:p>
        </w:tc>
      </w:tr>
      <w:tr>
        <w:tc>
          <w:tcPr>
            <w:tcW w:type="dxa" w:w="18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Pipeline</w:t>
            </w:r>
          </w:p>
        </w:tc>
        <w:tc>
          <w:tcPr>
            <w:tcW w:type="dxa" w:w="756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trigger_count, context_ready_count, post_context_count, calibrated_count, promoted_count, published_count</w:t>
            </w:r>
          </w:p>
        </w:tc>
      </w:tr>
      <w:tr>
        <w:tc>
          <w:tcPr>
            <w:tcW w:type="dxa" w:w="18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Latency</w:t>
            </w:r>
          </w:p>
        </w:tc>
        <w:tc>
          <w:tcPr>
            <w:tcW w:type="dxa" w:w="756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bar_finalize_to_snapshot, snapshot_to_inference, inference_to_gate, gate_to_publish; p50/p95/p99</w:t>
            </w:r>
          </w:p>
        </w:tc>
      </w:tr>
      <w:tr>
        <w:tc>
          <w:tcPr>
            <w:tcW w:type="dxa" w:w="18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Data</w:t>
            </w:r>
          </w:p>
        </w:tc>
        <w:tc>
          <w:tcPr>
            <w:tcW w:type="dxa" w:w="756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freshness, gaps, duplicates, late events, coverage, vendor disconnects</w:t>
            </w:r>
          </w:p>
        </w:tc>
      </w:tr>
      <w:tr>
        <w:tc>
          <w:tcPr>
            <w:tcW w:type="dxa" w:w="18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Model</w:t>
            </w:r>
          </w:p>
        </w:tc>
        <w:tc>
          <w:tcPr>
            <w:tcW w:type="dxa" w:w="756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regime occupancy, posterior entropy, effective N, OOD, probability drift, calibration error</w:t>
            </w:r>
          </w:p>
        </w:tc>
      </w:tr>
      <w:tr>
        <w:tc>
          <w:tcPr>
            <w:tcW w:type="dxa" w:w="18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Product</w:t>
            </w:r>
          </w:p>
        </w:tc>
        <w:tc>
          <w:tcPr>
            <w:tcW w:type="dxa" w:w="756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valid forecasts, abstention reasons, API errors, stale-card prevention</w:t>
            </w:r>
          </w:p>
        </w:tc>
      </w:tr>
    </w:tbl>
    <w:p>
      <w:pPr>
        <w:spacing w:after="40"/>
      </w:pPr>
    </w:p>
    <w:p>
      <w:pPr>
        <w:pStyle w:val="Heading2"/>
        <w:keepNext/>
      </w:pPr>
      <w:r>
        <w:t>15.2 Security</w:t>
      </w:r>
    </w:p>
    <w:p>
      <w:pPr>
        <w:keepLines/>
        <w:numPr>
          <w:ilvl w:val="0"/>
          <w:numId w:val="23"/>
        </w:numPr>
        <w:spacing w:after="80" w:line="300" w:lineRule="auto"/>
      </w:pPr>
      <w:r>
        <w:rPr>
          <w:rFonts w:ascii="Calibri" w:hAnsi="Calibri" w:eastAsia="Calibri" w:cs="Calibri"/>
          <w:color w:val="111111"/>
          <w:sz w:val="22"/>
        </w:rPr>
        <w:t>No API key, broker token, AWS secret, or vendor credential in source control, logs, browser bundles, prompts, or chat.</w:t>
      </w:r>
    </w:p>
    <w:p>
      <w:pPr>
        <w:keepLines/>
        <w:numPr>
          <w:ilvl w:val="0"/>
          <w:numId w:val="23"/>
        </w:numPr>
        <w:spacing w:after="80" w:line="300" w:lineRule="auto"/>
      </w:pPr>
      <w:r>
        <w:rPr>
          <w:rFonts w:ascii="Calibri" w:hAnsi="Calibri" w:eastAsia="Calibri" w:cs="Calibri"/>
          <w:color w:val="111111"/>
          <w:sz w:val="22"/>
        </w:rPr>
        <w:t>Secrets use managed storage and rotation; production access is least privilege with audited break-glass procedures.</w:t>
      </w:r>
    </w:p>
    <w:p>
      <w:pPr>
        <w:keepLines/>
        <w:numPr>
          <w:ilvl w:val="0"/>
          <w:numId w:val="23"/>
        </w:numPr>
        <w:spacing w:after="80" w:line="300" w:lineRule="auto"/>
      </w:pPr>
      <w:r>
        <w:rPr>
          <w:rFonts w:ascii="Calibri" w:hAnsi="Calibri" w:eastAsia="Calibri" w:cs="Calibri"/>
          <w:color w:val="111111"/>
          <w:sz w:val="22"/>
        </w:rPr>
        <w:t>Artifacts are signed or hash-verified; deployment refuses mismatched manifests.</w:t>
      </w:r>
    </w:p>
    <w:p>
      <w:pPr>
        <w:keepLines/>
        <w:numPr>
          <w:ilvl w:val="0"/>
          <w:numId w:val="23"/>
        </w:numPr>
        <w:spacing w:after="80" w:line="300" w:lineRule="auto"/>
      </w:pPr>
      <w:r>
        <w:rPr>
          <w:rFonts w:ascii="Calibri" w:hAnsi="Calibri" w:eastAsia="Calibri" w:cs="Calibri"/>
          <w:color w:val="111111"/>
          <w:sz w:val="22"/>
        </w:rPr>
        <w:t>Public endpoints expose only approved evidence fields; internal traces, raw credentials, and licensed redistribution-restricted data remain private.</w:t>
      </w:r>
    </w:p>
    <w:p>
      <w:pPr>
        <w:keepLines/>
        <w:numPr>
          <w:ilvl w:val="0"/>
          <w:numId w:val="23"/>
        </w:numPr>
        <w:spacing w:after="80" w:line="300" w:lineRule="auto"/>
      </w:pPr>
      <w:r>
        <w:rPr>
          <w:rFonts w:ascii="Calibri" w:hAnsi="Calibri" w:eastAsia="Calibri" w:cs="Calibri"/>
          <w:color w:val="111111"/>
          <w:sz w:val="22"/>
        </w:rPr>
        <w:t>Supply-chain scanning, dependency pinning, container digest pinning, and reproducible builds are release requirements.</w:t>
      </w:r>
    </w:p>
    <w:p>
      <w:pPr>
        <w:pStyle w:val="Heading2"/>
        <w:keepNext/>
      </w:pPr>
      <w:r>
        <w:t>15.3 Product/regulatory boundary</w:t>
      </w:r>
    </w:p>
    <w:p>
      <w:pPr>
        <w:spacing w:after="120" w:line="300" w:lineRule="auto"/>
      </w:pPr>
      <w:r>
        <w:rPr>
          <w:rFonts w:ascii="Calibri" w:hAnsi="Calibri" w:eastAsia="Calibri" w:cs="Calibri"/>
          <w:i w:val="0"/>
          <w:color w:val="111111"/>
          <w:sz w:val="22"/>
        </w:rPr>
        <w:t>AXIO7 should be positioned as quantitative market intelligence / AI-native quantitative research infrastructure. Customer output provides research states, distributions, evidence, and uncertainty. Public automated execution, copy trading, individualized advice, and discretionary portfolio control are outside this PRD and require separate legal, broker, licensing, and risk review before any implementation.</w:t>
      </w:r>
    </w:p>
    <w:p>
      <w:pPr>
        <w:pStyle w:val="Heading1"/>
        <w:keepNext/>
      </w:pPr>
      <w:r>
        <w:t>16. Implementation Roadmap</w:t>
      </w:r>
    </w:p>
    <w:tbl>
      <w:tblPr>
        <w:tblW w:type="dxa" w:w="9360"/>
        <w:tblLayout w:type="fixed"/>
        <w:tblLook w:firstColumn="1" w:firstRow="1" w:lastColumn="0" w:lastRow="0" w:noHBand="0" w:noVBand="1" w:val="04A0"/>
        <w:jc w:val="center"/>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498"/>
        <w:gridCol w:w="4493"/>
        <w:gridCol w:w="3370"/>
      </w:tblGrid>
      <w:tr>
        <w:trPr>
          <w:tblHeader w:val="true"/>
          <w:tblHeader w:val="true"/>
          <w:cantSplit/>
        </w:trPr>
        <w:tc>
          <w:tcPr>
            <w:tcW w:type="dxa" w:w="1498"/>
            <w:tcMar>
              <w:top w:w="80" w:type="dxa"/>
              <w:start w:w="120" w:type="dxa"/>
              <w:bottom w:w="80" w:type="dxa"/>
              <w:end w:w="120" w:type="dxa"/>
            </w:tcMar>
            <w:vAlign w:val="center"/>
            <w:shd w:fill="F2F4F7"/>
          </w:tcPr>
          <w:p>
            <w:pPr>
              <w:spacing w:after="0" w:line="240" w:lineRule="auto"/>
              <w:jc w:val="left"/>
            </w:pPr>
            <w:r>
              <w:rPr>
                <w:rFonts w:ascii="Calibri" w:hAnsi="Calibri" w:eastAsia="Calibri" w:cs="Calibri"/>
                <w:b/>
                <w:color w:val="1F4D78"/>
                <w:sz w:val="18"/>
              </w:rPr>
              <w:t>Phase</w:t>
            </w:r>
          </w:p>
        </w:tc>
        <w:tc>
          <w:tcPr>
            <w:tcW w:type="dxa" w:w="4493"/>
            <w:tcMar>
              <w:top w:w="80" w:type="dxa"/>
              <w:start w:w="120" w:type="dxa"/>
              <w:bottom w:w="80" w:type="dxa"/>
              <w:end w:w="120" w:type="dxa"/>
            </w:tcMar>
            <w:vAlign w:val="center"/>
            <w:shd w:fill="F2F4F7"/>
          </w:tcPr>
          <w:p>
            <w:pPr>
              <w:spacing w:after="0" w:line="240" w:lineRule="auto"/>
              <w:jc w:val="left"/>
            </w:pPr>
            <w:r>
              <w:rPr>
                <w:rFonts w:ascii="Calibri" w:hAnsi="Calibri" w:eastAsia="Calibri" w:cs="Calibri"/>
                <w:b/>
                <w:color w:val="1F4D78"/>
                <w:sz w:val="18"/>
              </w:rPr>
              <w:t>Scope</w:t>
            </w:r>
          </w:p>
        </w:tc>
        <w:tc>
          <w:tcPr>
            <w:tcW w:type="dxa" w:w="3370"/>
            <w:tcMar>
              <w:top w:w="80" w:type="dxa"/>
              <w:start w:w="120" w:type="dxa"/>
              <w:bottom w:w="80" w:type="dxa"/>
              <w:end w:w="120" w:type="dxa"/>
            </w:tcMar>
            <w:vAlign w:val="center"/>
            <w:shd w:fill="F2F4F7"/>
          </w:tcPr>
          <w:p>
            <w:pPr>
              <w:spacing w:after="0" w:line="240" w:lineRule="auto"/>
              <w:jc w:val="left"/>
            </w:pPr>
            <w:r>
              <w:rPr>
                <w:rFonts w:ascii="Calibri" w:hAnsi="Calibri" w:eastAsia="Calibri" w:cs="Calibri"/>
                <w:b/>
                <w:color w:val="1F4D78"/>
                <w:sz w:val="18"/>
              </w:rPr>
              <w:t>Exit condition</w:t>
            </w:r>
          </w:p>
        </w:tc>
      </w:tr>
      <w:tr>
        <w:trPr>
          <w:cantSplit/>
        </w:trPr>
        <w:tc>
          <w:tcPr>
            <w:tcW w:type="dxa" w:w="1498"/>
            <w:tcMar>
              <w:top w:w="80" w:type="dxa"/>
              <w:start w:w="120" w:type="dxa"/>
              <w:bottom w:w="80" w:type="dxa"/>
              <w:end w:w="120" w:type="dxa"/>
            </w:tcMar>
            <w:vAlign w:val="center"/>
          </w:tcPr>
          <w:p>
            <w:pPr>
              <w:spacing w:after="0" w:line="240" w:lineRule="auto"/>
            </w:pPr>
            <w:r>
              <w:rPr>
                <w:rFonts w:ascii="Calibri" w:hAnsi="Calibri" w:eastAsia="Calibri" w:cs="Calibri"/>
                <w:color w:val="111111"/>
                <w:sz w:val="18"/>
              </w:rPr>
              <w:t>P0 Restore truth</w:t>
            </w:r>
          </w:p>
        </w:tc>
        <w:tc>
          <w:tcPr>
            <w:tcW w:type="dxa" w:w="4493"/>
            <w:tcMar>
              <w:top w:w="80" w:type="dxa"/>
              <w:start w:w="120" w:type="dxa"/>
              <w:bottom w:w="80" w:type="dxa"/>
              <w:end w:w="120" w:type="dxa"/>
            </w:tcMar>
            <w:vAlign w:val="center"/>
          </w:tcPr>
          <w:p>
            <w:pPr>
              <w:spacing w:after="0" w:line="240" w:lineRule="auto"/>
            </w:pPr>
            <w:r>
              <w:rPr>
                <w:rFonts w:ascii="Calibri" w:hAnsi="Calibri"/>
                <w:sz w:val="18"/>
              </w:rPr>
              <w:t>Preserve every requested symbol; replace scalar symbols[0] fallback; remove hard-coded SPX copy; fix exact-cutoff context readiness; configure calibration/promotion; parallelize 9/14-symbol inference; enforce DATABENTO_ONLY</w:t>
            </w:r>
          </w:p>
        </w:tc>
        <w:tc>
          <w:tcPr>
            <w:tcW w:type="dxa" w:w="3370"/>
            <w:tcMar>
              <w:top w:w="80" w:type="dxa"/>
              <w:start w:w="120" w:type="dxa"/>
              <w:bottom w:w="80" w:type="dxa"/>
              <w:end w:w="120" w:type="dxa"/>
            </w:tcMar>
            <w:vAlign w:val="center"/>
          </w:tcPr>
          <w:p>
            <w:pPr>
              <w:spacing w:after="0" w:line="240" w:lineRule="auto"/>
            </w:pPr>
            <w:r>
              <w:rPr>
                <w:rFonts w:ascii="Calibri" w:hAnsi="Calibri"/>
                <w:sz w:val="18"/>
              </w:rPr>
              <w:t>Input-to-result cardinality is auditable; no silent symbol loss; no proxy-label contradiction; non-zero eligible publication counts when gates pass; p95 &lt;=5s; replay passes</w:t>
            </w:r>
          </w:p>
        </w:tc>
      </w:tr>
      <w:tr>
        <w:trPr>
          <w:cantSplit/>
        </w:trPr>
        <w:tc>
          <w:tcPr>
            <w:tcW w:type="dxa" w:w="1498"/>
            <w:shd w:fill="FAFBFC"/>
            <w:tcMar>
              <w:top w:w="80" w:type="dxa"/>
              <w:start w:w="120" w:type="dxa"/>
              <w:bottom w:w="80" w:type="dxa"/>
              <w:end w:w="120" w:type="dxa"/>
            </w:tcMar>
            <w:vAlign w:val="center"/>
          </w:tcPr>
          <w:p>
            <w:pPr>
              <w:spacing w:after="0" w:line="240" w:lineRule="auto"/>
            </w:pPr>
            <w:r>
              <w:rPr>
                <w:rFonts w:ascii="Calibri" w:hAnsi="Calibri" w:eastAsia="Calibri" w:cs="Calibri"/>
                <w:color w:val="111111"/>
                <w:sz w:val="18"/>
              </w:rPr>
              <w:t>P1 Baseline discipline</w:t>
            </w:r>
          </w:p>
        </w:tc>
        <w:tc>
          <w:tcPr>
            <w:tcW w:type="dxa" w:w="4493"/>
            <w:shd w:fill="FAFBFC"/>
            <w:tcMar>
              <w:top w:w="80" w:type="dxa"/>
              <w:start w:w="120" w:type="dxa"/>
              <w:bottom w:w="80" w:type="dxa"/>
              <w:end w:w="120" w:type="dxa"/>
            </w:tcMar>
            <w:vAlign w:val="center"/>
          </w:tcPr>
          <w:p>
            <w:pPr>
              <w:spacing w:after="0" w:line="240" w:lineRule="auto"/>
            </w:pPr>
            <w:r>
              <w:rPr>
                <w:rFonts w:ascii="Calibri" w:hAnsi="Calibri" w:eastAsia="Calibri" w:cs="Calibri"/>
                <w:color w:val="111111"/>
                <w:sz w:val="18"/>
              </w:rPr>
              <w:t>B0-B3 benchmark suite; causal FeatureSnapshot; cost model; Prediction Ledger; standard report</w:t>
            </w:r>
          </w:p>
        </w:tc>
        <w:tc>
          <w:tcPr>
            <w:tcW w:type="dxa" w:w="3370"/>
            <w:shd w:fill="FAFBFC"/>
            <w:tcMar>
              <w:top w:w="80" w:type="dxa"/>
              <w:start w:w="120" w:type="dxa"/>
              <w:bottom w:w="80" w:type="dxa"/>
              <w:end w:w="120" w:type="dxa"/>
            </w:tcMar>
            <w:vAlign w:val="center"/>
          </w:tcPr>
          <w:p>
            <w:pPr>
              <w:spacing w:after="0" w:line="240" w:lineRule="auto"/>
            </w:pPr>
            <w:r>
              <w:rPr>
                <w:rFonts w:ascii="Calibri" w:hAnsi="Calibri" w:eastAsia="Calibri" w:cs="Calibri"/>
                <w:color w:val="111111"/>
                <w:sz w:val="18"/>
              </w:rPr>
              <w:t>Every production output has baseline delta and lineage</w:t>
            </w:r>
          </w:p>
        </w:tc>
      </w:tr>
      <w:tr>
        <w:trPr>
          <w:cantSplit/>
        </w:trPr>
        <w:tc>
          <w:tcPr>
            <w:tcW w:type="dxa" w:w="1498"/>
            <w:tcMar>
              <w:top w:w="80" w:type="dxa"/>
              <w:start w:w="120" w:type="dxa"/>
              <w:bottom w:w="80" w:type="dxa"/>
              <w:end w:w="120" w:type="dxa"/>
            </w:tcMar>
            <w:vAlign w:val="center"/>
          </w:tcPr>
          <w:p>
            <w:pPr>
              <w:spacing w:after="0" w:line="240" w:lineRule="auto"/>
            </w:pPr>
            <w:r>
              <w:rPr>
                <w:rFonts w:ascii="Calibri" w:hAnsi="Calibri" w:eastAsia="Calibri" w:cs="Calibri"/>
                <w:color w:val="111111"/>
                <w:sz w:val="18"/>
              </w:rPr>
              <w:t>P2 Main-chain validation</w:t>
            </w:r>
          </w:p>
        </w:tc>
        <w:tc>
          <w:tcPr>
            <w:tcW w:type="dxa" w:w="4493"/>
            <w:tcMar>
              <w:top w:w="80" w:type="dxa"/>
              <w:start w:w="120" w:type="dxa"/>
              <w:bottom w:w="80" w:type="dxa"/>
              <w:end w:w="120" w:type="dxa"/>
            </w:tcMar>
            <w:vAlign w:val="center"/>
          </w:tcPr>
          <w:p>
            <w:pPr>
              <w:spacing w:after="0" w:line="240" w:lineRule="auto"/>
            </w:pPr>
            <w:r>
              <w:rPr>
                <w:rFonts w:ascii="Calibri" w:hAnsi="Calibri" w:eastAsia="Calibri" w:cs="Calibri"/>
                <w:color w:val="111111"/>
                <w:sz w:val="18"/>
              </w:rPr>
              <w:t>HMM stability; soft analogue kernel; weighted CDF; OOD/effective-N; nested calibration</w:t>
            </w:r>
          </w:p>
        </w:tc>
        <w:tc>
          <w:tcPr>
            <w:tcW w:type="dxa" w:w="3370"/>
            <w:tcMar>
              <w:top w:w="80" w:type="dxa"/>
              <w:start w:w="120" w:type="dxa"/>
              <w:bottom w:w="80" w:type="dxa"/>
              <w:end w:w="120" w:type="dxa"/>
            </w:tcMar>
            <w:vAlign w:val="center"/>
          </w:tcPr>
          <w:p>
            <w:pPr>
              <w:spacing w:after="0" w:line="240" w:lineRule="auto"/>
            </w:pPr>
            <w:r>
              <w:rPr>
                <w:rFonts w:ascii="Calibri" w:hAnsi="Calibri" w:eastAsia="Calibri" w:cs="Calibri"/>
                <w:color w:val="111111"/>
                <w:sz w:val="18"/>
              </w:rPr>
              <w:t>Candidate gates pass across multiple OOS blocks</w:t>
            </w:r>
          </w:p>
        </w:tc>
      </w:tr>
      <w:tr>
        <w:trPr>
          <w:cantSplit/>
        </w:trPr>
        <w:tc>
          <w:tcPr>
            <w:tcW w:type="dxa" w:w="1498"/>
            <w:shd w:fill="FAFBFC"/>
            <w:tcMar>
              <w:top w:w="80" w:type="dxa"/>
              <w:start w:w="120" w:type="dxa"/>
              <w:bottom w:w="80" w:type="dxa"/>
              <w:end w:w="120" w:type="dxa"/>
            </w:tcMar>
            <w:vAlign w:val="center"/>
          </w:tcPr>
          <w:p>
            <w:pPr>
              <w:spacing w:after="0" w:line="240" w:lineRule="auto"/>
            </w:pPr>
            <w:r>
              <w:rPr>
                <w:rFonts w:ascii="Calibri" w:hAnsi="Calibri" w:eastAsia="Calibri" w:cs="Calibri"/>
                <w:color w:val="111111"/>
                <w:sz w:val="18"/>
              </w:rPr>
              <w:t>P3 Market microstructure</w:t>
            </w:r>
          </w:p>
        </w:tc>
        <w:tc>
          <w:tcPr>
            <w:tcW w:type="dxa" w:w="4493"/>
            <w:shd w:fill="FAFBFC"/>
            <w:tcMar>
              <w:top w:w="80" w:type="dxa"/>
              <w:start w:w="120" w:type="dxa"/>
              <w:bottom w:w="80" w:type="dxa"/>
              <w:end w:w="120" w:type="dxa"/>
            </w:tcMar>
            <w:vAlign w:val="center"/>
          </w:tcPr>
          <w:p>
            <w:pPr>
              <w:spacing w:after="0" w:line="240" w:lineRule="auto"/>
            </w:pPr>
            <w:r>
              <w:rPr>
                <w:rFonts w:ascii="Calibri" w:hAnsi="Calibri" w:eastAsia="Calibri" w:cs="Calibri"/>
                <w:color w:val="111111"/>
                <w:sz w:val="18"/>
              </w:rPr>
              <w:t>OFI, spread, depth imbalance, microprice, liquidity and auction features where licensed</w:t>
            </w:r>
          </w:p>
        </w:tc>
        <w:tc>
          <w:tcPr>
            <w:tcW w:type="dxa" w:w="3370"/>
            <w:shd w:fill="FAFBFC"/>
            <w:tcMar>
              <w:top w:w="80" w:type="dxa"/>
              <w:start w:w="120" w:type="dxa"/>
              <w:bottom w:w="80" w:type="dxa"/>
              <w:end w:w="120" w:type="dxa"/>
            </w:tcMar>
            <w:vAlign w:val="center"/>
          </w:tcPr>
          <w:p>
            <w:pPr>
              <w:spacing w:after="0" w:line="240" w:lineRule="auto"/>
            </w:pPr>
            <w:r>
              <w:rPr>
                <w:rFonts w:ascii="Calibri" w:hAnsi="Calibri" w:eastAsia="Calibri" w:cs="Calibri"/>
                <w:color w:val="111111"/>
                <w:sz w:val="18"/>
              </w:rPr>
              <w:t>Incremental ablation skill after costs</w:t>
            </w:r>
          </w:p>
        </w:tc>
      </w:tr>
      <w:tr>
        <w:trPr>
          <w:cantSplit/>
        </w:trPr>
        <w:tc>
          <w:tcPr>
            <w:tcW w:type="dxa" w:w="1498"/>
            <w:tcMar>
              <w:top w:w="80" w:type="dxa"/>
              <w:start w:w="120" w:type="dxa"/>
              <w:bottom w:w="80" w:type="dxa"/>
              <w:end w:w="120" w:type="dxa"/>
            </w:tcMar>
            <w:vAlign w:val="center"/>
          </w:tcPr>
          <w:p>
            <w:pPr>
              <w:spacing w:after="0" w:line="240" w:lineRule="auto"/>
            </w:pPr>
            <w:r>
              <w:rPr>
                <w:rFonts w:ascii="Calibri" w:hAnsi="Calibri" w:eastAsia="Calibri" w:cs="Calibri"/>
                <w:color w:val="111111"/>
                <w:sz w:val="18"/>
              </w:rPr>
              <w:t>P4 Options/cross-asset</w:t>
            </w:r>
          </w:p>
        </w:tc>
        <w:tc>
          <w:tcPr>
            <w:tcW w:type="dxa" w:w="4493"/>
            <w:tcMar>
              <w:top w:w="80" w:type="dxa"/>
              <w:start w:w="120" w:type="dxa"/>
              <w:bottom w:w="80" w:type="dxa"/>
              <w:end w:w="120" w:type="dxa"/>
            </w:tcMar>
            <w:vAlign w:val="center"/>
          </w:tcPr>
          <w:p>
            <w:pPr>
              <w:spacing w:after="0" w:line="240" w:lineRule="auto"/>
            </w:pPr>
            <w:r>
              <w:rPr>
                <w:rFonts w:ascii="Calibri" w:hAnsi="Calibri" w:eastAsia="Calibri" w:cs="Calibri"/>
                <w:color w:val="111111"/>
                <w:sz w:val="18"/>
              </w:rPr>
              <w:t>SPX/SPXW surface/skew/OI/gamma estimates; ES/NQ basis/lead-lag; event atlas</w:t>
            </w:r>
          </w:p>
        </w:tc>
        <w:tc>
          <w:tcPr>
            <w:tcW w:type="dxa" w:w="3370"/>
            <w:tcMar>
              <w:top w:w="80" w:type="dxa"/>
              <w:start w:w="120" w:type="dxa"/>
              <w:bottom w:w="80" w:type="dxa"/>
              <w:end w:w="120" w:type="dxa"/>
            </w:tcMar>
            <w:vAlign w:val="center"/>
          </w:tcPr>
          <w:p>
            <w:pPr>
              <w:spacing w:after="0" w:line="240" w:lineRule="auto"/>
            </w:pPr>
            <w:r>
              <w:rPr>
                <w:rFonts w:ascii="Calibri" w:hAnsi="Calibri" w:eastAsia="Calibri" w:cs="Calibri"/>
                <w:color w:val="111111"/>
                <w:sz w:val="18"/>
              </w:rPr>
              <w:t>Separate source/assumption labels and robust OOS lift</w:t>
            </w:r>
          </w:p>
        </w:tc>
      </w:tr>
      <w:tr>
        <w:trPr>
          <w:cantSplit/>
        </w:trPr>
        <w:tc>
          <w:tcPr>
            <w:tcW w:type="dxa" w:w="1498"/>
            <w:shd w:fill="FAFBFC"/>
            <w:tcMar>
              <w:top w:w="80" w:type="dxa"/>
              <w:start w:w="120" w:type="dxa"/>
              <w:bottom w:w="80" w:type="dxa"/>
              <w:end w:w="120" w:type="dxa"/>
            </w:tcMar>
            <w:vAlign w:val="center"/>
          </w:tcPr>
          <w:p>
            <w:pPr>
              <w:spacing w:after="0" w:line="240" w:lineRule="auto"/>
            </w:pPr>
            <w:r>
              <w:rPr>
                <w:rFonts w:ascii="Calibri" w:hAnsi="Calibri" w:eastAsia="Calibri" w:cs="Calibri"/>
                <w:color w:val="111111"/>
                <w:sz w:val="18"/>
              </w:rPr>
              <w:t>P5 Challengers</w:t>
            </w:r>
          </w:p>
        </w:tc>
        <w:tc>
          <w:tcPr>
            <w:tcW w:type="dxa" w:w="4493"/>
            <w:shd w:fill="FAFBFC"/>
            <w:tcMar>
              <w:top w:w="80" w:type="dxa"/>
              <w:start w:w="120" w:type="dxa"/>
              <w:bottom w:w="80" w:type="dxa"/>
              <w:end w:w="120" w:type="dxa"/>
            </w:tcMar>
            <w:vAlign w:val="center"/>
          </w:tcPr>
          <w:p>
            <w:pPr>
              <w:spacing w:after="0" w:line="240" w:lineRule="auto"/>
            </w:pPr>
            <w:r>
              <w:rPr>
                <w:rFonts w:ascii="Calibri" w:hAnsi="Calibri" w:eastAsia="Calibri" w:cs="Calibri"/>
                <w:color w:val="111111"/>
                <w:sz w:val="18"/>
              </w:rPr>
              <w:t>LightGBM, SDE, deep representation models, controlled ensemble</w:t>
            </w:r>
          </w:p>
        </w:tc>
        <w:tc>
          <w:tcPr>
            <w:tcW w:type="dxa" w:w="3370"/>
            <w:shd w:fill="FAFBFC"/>
            <w:tcMar>
              <w:top w:w="80" w:type="dxa"/>
              <w:start w:w="120" w:type="dxa"/>
              <w:bottom w:w="80" w:type="dxa"/>
              <w:end w:w="120" w:type="dxa"/>
            </w:tcMar>
            <w:vAlign w:val="center"/>
          </w:tcPr>
          <w:p>
            <w:pPr>
              <w:spacing w:after="0" w:line="240" w:lineRule="auto"/>
            </w:pPr>
            <w:r>
              <w:rPr>
                <w:rFonts w:ascii="Calibri" w:hAnsi="Calibri" w:eastAsia="Calibri" w:cs="Calibri"/>
                <w:color w:val="111111"/>
                <w:sz w:val="18"/>
              </w:rPr>
              <w:t>Independent promotion; no degradation of calibration/SLO</w:t>
            </w:r>
          </w:p>
        </w:tc>
      </w:tr>
      <w:tr>
        <w:trPr>
          <w:cantSplit/>
        </w:trPr>
        <w:tc>
          <w:tcPr>
            <w:tcW w:type="dxa" w:w="1498"/>
            <w:tcMar>
              <w:top w:w="80" w:type="dxa"/>
              <w:start w:w="120" w:type="dxa"/>
              <w:bottom w:w="80" w:type="dxa"/>
              <w:end w:w="120" w:type="dxa"/>
            </w:tcMar>
            <w:vAlign w:val="center"/>
          </w:tcPr>
          <w:p>
            <w:pPr>
              <w:spacing w:after="0" w:line="240" w:lineRule="auto"/>
            </w:pPr>
            <w:r>
              <w:rPr>
                <w:rFonts w:ascii="Calibri" w:hAnsi="Calibri" w:eastAsia="Calibri" w:cs="Calibri"/>
                <w:color w:val="111111"/>
                <w:sz w:val="18"/>
              </w:rPr>
              <w:t>P6 Research platform</w:t>
            </w:r>
          </w:p>
        </w:tc>
        <w:tc>
          <w:tcPr>
            <w:tcW w:type="dxa" w:w="4493"/>
            <w:tcMar>
              <w:top w:w="80" w:type="dxa"/>
              <w:start w:w="120" w:type="dxa"/>
              <w:bottom w:w="80" w:type="dxa"/>
              <w:end w:w="120" w:type="dxa"/>
            </w:tcMar>
            <w:vAlign w:val="center"/>
          </w:tcPr>
          <w:p>
            <w:pPr>
              <w:spacing w:after="0" w:line="240" w:lineRule="auto"/>
            </w:pPr>
            <w:r>
              <w:rPr>
                <w:rFonts w:ascii="Calibri" w:hAnsi="Calibri" w:eastAsia="Calibri" w:cs="Calibri"/>
                <w:color w:val="111111"/>
                <w:sz w:val="18"/>
              </w:rPr>
              <w:t>Typed natural-language studies, agent audits, experiment registry, customer API</w:t>
            </w:r>
          </w:p>
        </w:tc>
        <w:tc>
          <w:tcPr>
            <w:tcW w:type="dxa" w:w="3370"/>
            <w:tcMar>
              <w:top w:w="80" w:type="dxa"/>
              <w:start w:w="120" w:type="dxa"/>
              <w:bottom w:w="80" w:type="dxa"/>
              <w:end w:w="120" w:type="dxa"/>
            </w:tcMar>
            <w:vAlign w:val="center"/>
          </w:tcPr>
          <w:p>
            <w:pPr>
              <w:spacing w:after="0" w:line="240" w:lineRule="auto"/>
            </w:pPr>
            <w:r>
              <w:rPr>
                <w:rFonts w:ascii="Calibri" w:hAnsi="Calibri" w:eastAsia="Calibri" w:cs="Calibri"/>
                <w:color w:val="111111"/>
                <w:sz w:val="18"/>
              </w:rPr>
              <w:t>Permissioned, reproducible, evidence-linked workflow</w:t>
            </w:r>
          </w:p>
        </w:tc>
      </w:tr>
    </w:tbl>
    <w:p>
      <w:pPr>
        <w:spacing w:after="40"/>
      </w:pPr>
    </w:p>
    <w:p>
      <w:pPr>
        <w:pStyle w:val="Heading2"/>
        <w:keepNext/>
      </w:pPr>
      <w:r>
        <w:t>16.1 Immediate P0 engineering backlog</w:t>
      </w:r>
    </w:p>
    <w:p>
      <w:pPr>
        <w:keepLines/>
        <w:numPr>
          <w:ilvl w:val="0"/>
          <w:numId w:val="24"/>
        </w:numPr>
        <w:spacing w:after="80" w:line="300" w:lineRule="auto"/>
      </w:pPr>
      <w:r>
        <w:t>Verify exact-cutoff contiguous context eligibility per symbol and horizon; produce missing-interval and feature reason codes instead of relying on an aggregate readiness count.</w:t>
      </w:r>
    </w:p>
    <w:p>
      <w:pPr>
        <w:keepLines/>
        <w:numPr>
          <w:ilvl w:val="0"/>
          <w:numId w:val="24"/>
        </w:numPr>
        <w:spacing w:after="80" w:line="300" w:lineRule="auto"/>
      </w:pPr>
      <w:r>
        <w:rPr>
          <w:rFonts w:ascii="Calibri" w:hAnsi="Calibri" w:eastAsia="Calibri" w:cs="Calibri"/>
          <w:color w:val="111111"/>
          <w:sz w:val="22"/>
        </w:rPr>
        <w:t>Create/load valid calibration artifacts by symbol/horizon or explicitly exclude unsupported forecasts.</w:t>
      </w:r>
    </w:p>
    <w:p>
      <w:pPr>
        <w:keepLines/>
        <w:numPr>
          <w:ilvl w:val="0"/>
          <w:numId w:val="24"/>
        </w:numPr>
        <w:spacing w:after="80" w:line="300" w:lineRule="auto"/>
      </w:pPr>
      <w:r>
        <w:rPr>
          <w:rFonts w:ascii="Calibri" w:hAnsi="Calibri" w:eastAsia="Calibri" w:cs="Calibri"/>
          <w:color w:val="111111"/>
          <w:sz w:val="22"/>
        </w:rPr>
        <w:t>Implement promotion manifest and atomic activation; promotionStatus may not remain ABSENT for an official model.</w:t>
      </w:r>
    </w:p>
    <w:p>
      <w:pPr>
        <w:keepLines/>
        <w:numPr>
          <w:ilvl w:val="0"/>
          <w:numId w:val="24"/>
        </w:numPr>
        <w:spacing w:after="80" w:line="300" w:lineRule="auto"/>
      </w:pPr>
      <w:r>
        <w:rPr>
          <w:rFonts w:ascii="Calibri" w:hAnsi="Calibri" w:eastAsia="Calibri" w:cs="Calibri"/>
          <w:color w:val="111111"/>
          <w:sz w:val="22"/>
        </w:rPr>
        <w:t>Replace serial universe inference with bounded parallel tasks and independent publish completion.</w:t>
      </w:r>
    </w:p>
    <w:p>
      <w:pPr>
        <w:keepLines/>
        <w:numPr>
          <w:ilvl w:val="0"/>
          <w:numId w:val="24"/>
        </w:numPr>
        <w:spacing w:after="80" w:line="300" w:lineRule="auto"/>
      </w:pPr>
      <w:r>
        <w:rPr>
          <w:rFonts w:ascii="Calibri" w:hAnsi="Calibri" w:eastAsia="Calibri" w:cs="Calibri"/>
          <w:color w:val="111111"/>
          <w:sz w:val="22"/>
        </w:rPr>
        <w:t>Record one ledger row for every finalized-bar trigger, including blocked predictions and latency measurements.</w:t>
      </w:r>
    </w:p>
    <w:p>
      <w:pPr>
        <w:keepLines/>
        <w:numPr>
          <w:ilvl w:val="0"/>
          <w:numId w:val="24"/>
        </w:numPr>
        <w:spacing w:after="80" w:line="300" w:lineRule="auto"/>
      </w:pPr>
      <w:r>
        <w:rPr>
          <w:rFonts w:ascii="Calibri" w:hAnsi="Calibri" w:eastAsia="Calibri" w:cs="Calibri"/>
          <w:color w:val="111111"/>
          <w:sz w:val="22"/>
        </w:rPr>
        <w:t>Add a deterministic end-to-end replay test from raw events to EvidenceEnvelope and compare against production output.</w:t>
      </w:r>
    </w:p>
    <w:p>
      <w:pPr>
        <w:keepLines/>
        <w:numPr>
          <w:ilvl w:val="0"/>
          <w:numId w:val="24"/>
        </w:numPr>
        <w:spacing w:after="80" w:line="300" w:lineRule="auto"/>
      </w:pPr>
      <w:r>
        <w:rPr>
          <w:rFonts w:ascii="Calibri" w:hAnsi="Calibri" w:eastAsia="Calibri" w:cs="Calibri"/>
          <w:color w:val="111111"/>
          <w:sz w:val="22"/>
        </w:rPr>
        <w:t>Expose health diagnostics separately from prediction results so a green data feed cannot hide an unusable model chain.</w:t>
      </w:r>
    </w:p>
    <w:p>
      <w:pPr>
        <w:pStyle w:val="Heading1"/>
        <w:keepNext/>
      </w:pPr>
      <w:r>
        <w:t>17. Acceptance Test Matrix</w:t>
      </w:r>
    </w:p>
    <w:tbl>
      <w:tblPr>
        <w:tblW w:type="dxa" w:w="9360"/>
        <w:tblLayout w:type="fixed"/>
        <w:tblLook w:firstColumn="1" w:firstRow="1" w:lastColumn="0" w:lastRow="0" w:noHBand="0" w:noVBand="1" w:val="04A0"/>
        <w:jc w:val="left"/>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000"/>
        <w:gridCol w:w="3480"/>
        <w:gridCol w:w="4880"/>
      </w:tblGrid>
      <w:tr>
        <w:trPr>
          <w:tblHeader w:val="true"/>
        </w:trPr>
        <w:tc>
          <w:tcPr>
            <w:tcW w:type="dxa" w:w="1000"/>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7"/>
              </w:rPr>
              <w:t>ID</w:t>
            </w:r>
          </w:p>
        </w:tc>
        <w:tc>
          <w:tcPr>
            <w:tcW w:type="dxa" w:w="3480"/>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7"/>
              </w:rPr>
              <w:t>Test</w:t>
            </w:r>
          </w:p>
        </w:tc>
        <w:tc>
          <w:tcPr>
            <w:tcW w:type="dxa" w:w="4880"/>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7"/>
              </w:rPr>
              <w:t>Pass condition</w:t>
            </w:r>
          </w:p>
        </w:tc>
      </w:tr>
      <w:tr>
        <w:tc>
          <w:tcPr>
            <w:tcW w:type="dxa" w:w="10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AT-01</w:t>
            </w:r>
          </w:p>
        </w:tc>
        <w:tc>
          <w:tcPr>
            <w:tcW w:type="dxa" w:w="348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Completed-bar causality</w:t>
            </w:r>
          </w:p>
        </w:tc>
        <w:tc>
          <w:tcPr>
            <w:tcW w:type="dxa" w:w="488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No prediction consumes event after cutoff/finalization policy</w:t>
            </w:r>
          </w:p>
        </w:tc>
      </w:tr>
      <w:tr>
        <w:tc>
          <w:tcPr>
            <w:tcW w:type="dxa" w:w="10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AT-02</w:t>
            </w:r>
          </w:p>
        </w:tc>
        <w:tc>
          <w:tcPr>
            <w:tcW w:type="dxa" w:w="348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Forward HMM</w:t>
            </w:r>
          </w:p>
        </w:tc>
        <w:tc>
          <w:tcPr>
            <w:tcW w:type="dxa" w:w="488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Live posterior equals forward-filter replay; no smoothed state</w:t>
            </w:r>
          </w:p>
        </w:tc>
      </w:tr>
      <w:tr>
        <w:tc>
          <w:tcPr>
            <w:tcW w:type="dxa" w:w="10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AT-03</w:t>
            </w:r>
          </w:p>
        </w:tc>
        <w:tc>
          <w:tcPr>
            <w:tcW w:type="dxa" w:w="348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Analogue correctness</w:t>
            </w:r>
          </w:p>
        </w:tc>
        <w:tc>
          <w:tcPr>
            <w:tcW w:type="dxa" w:w="488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Soft weights and weighted CDF match reference fixture</w:t>
            </w:r>
          </w:p>
        </w:tc>
      </w:tr>
      <w:tr>
        <w:tc>
          <w:tcPr>
            <w:tcW w:type="dxa" w:w="10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AT-04</w:t>
            </w:r>
          </w:p>
        </w:tc>
        <w:tc>
          <w:tcPr>
            <w:tcW w:type="dxa" w:w="348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No-support abstention</w:t>
            </w:r>
          </w:p>
        </w:tc>
        <w:tc>
          <w:tcPr>
            <w:tcW w:type="dxa" w:w="488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Low effective-N/OOD state returns reason-coded abstention</w:t>
            </w:r>
          </w:p>
        </w:tc>
      </w:tr>
      <w:tr>
        <w:tc>
          <w:tcPr>
            <w:tcW w:type="dxa" w:w="10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AT-05</w:t>
            </w:r>
          </w:p>
        </w:tc>
        <w:tc>
          <w:tcPr>
            <w:tcW w:type="dxa" w:w="348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Data fail-closed</w:t>
            </w:r>
          </w:p>
        </w:tc>
        <w:tc>
          <w:tcPr>
            <w:tcW w:type="dxa" w:w="488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Gap/stale source prevents publication</w:t>
            </w:r>
          </w:p>
        </w:tc>
      </w:tr>
      <w:tr>
        <w:tc>
          <w:tcPr>
            <w:tcW w:type="dxa" w:w="10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AT-06</w:t>
            </w:r>
          </w:p>
        </w:tc>
        <w:tc>
          <w:tcPr>
            <w:tcW w:type="dxa" w:w="348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Calibration fail-closed</w:t>
            </w:r>
          </w:p>
        </w:tc>
        <w:tc>
          <w:tcPr>
            <w:tcW w:type="dxa" w:w="488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Missing/expired calibration prevents official forecast</w:t>
            </w:r>
          </w:p>
        </w:tc>
      </w:tr>
      <w:tr>
        <w:tc>
          <w:tcPr>
            <w:tcW w:type="dxa" w:w="10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AT-07</w:t>
            </w:r>
          </w:p>
        </w:tc>
        <w:tc>
          <w:tcPr>
            <w:tcW w:type="dxa" w:w="348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Cost gate</w:t>
            </w:r>
          </w:p>
        </w:tc>
        <w:tc>
          <w:tcPr>
            <w:tcW w:type="dxa" w:w="488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Interval crossing zero after costs returns NO_EDGE</w:t>
            </w:r>
          </w:p>
        </w:tc>
      </w:tr>
      <w:tr>
        <w:tc>
          <w:tcPr>
            <w:tcW w:type="dxa" w:w="10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AT-08</w:t>
            </w:r>
          </w:p>
        </w:tc>
        <w:tc>
          <w:tcPr>
            <w:tcW w:type="dxa" w:w="348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Parallel SLA</w:t>
            </w:r>
          </w:p>
        </w:tc>
        <w:tc>
          <w:tcPr>
            <w:tcW w:type="dxa" w:w="488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9/14-symbol replay meets p95 &lt;=5s without starvation</w:t>
            </w:r>
          </w:p>
        </w:tc>
      </w:tr>
      <w:tr>
        <w:tc>
          <w:tcPr>
            <w:tcW w:type="dxa" w:w="10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AT-09</w:t>
            </w:r>
          </w:p>
        </w:tc>
        <w:tc>
          <w:tcPr>
            <w:tcW w:type="dxa" w:w="348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Ledger completeness</w:t>
            </w:r>
          </w:p>
        </w:tc>
        <w:tc>
          <w:tcPr>
            <w:tcW w:type="dxa" w:w="488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Trigger count equals forecasts + reason-coded failures</w:t>
            </w:r>
          </w:p>
        </w:tc>
      </w:tr>
      <w:tr>
        <w:tc>
          <w:tcPr>
            <w:tcW w:type="dxa" w:w="10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AT-10</w:t>
            </w:r>
          </w:p>
        </w:tc>
        <w:tc>
          <w:tcPr>
            <w:tcW w:type="dxa" w:w="348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Deterministic replay</w:t>
            </w:r>
          </w:p>
        </w:tc>
        <w:tc>
          <w:tcPr>
            <w:tcW w:type="dxa" w:w="488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Same manifest reproduces output within float tolerance</w:t>
            </w:r>
          </w:p>
        </w:tc>
      </w:tr>
      <w:tr>
        <w:tc>
          <w:tcPr>
            <w:tcW w:type="dxa" w:w="10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AT-11</w:t>
            </w:r>
          </w:p>
        </w:tc>
        <w:tc>
          <w:tcPr>
            <w:tcW w:type="dxa" w:w="348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LLM numeric fidelity</w:t>
            </w:r>
          </w:p>
        </w:tc>
        <w:tc>
          <w:tcPr>
            <w:tcW w:type="dxa" w:w="488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All narrative numbers mechanically match envelope</w:t>
            </w:r>
          </w:p>
        </w:tc>
      </w:tr>
      <w:tr>
        <w:tc>
          <w:tcPr>
            <w:tcW w:type="dxa" w:w="10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AT-12</w:t>
            </w:r>
          </w:p>
        </w:tc>
        <w:tc>
          <w:tcPr>
            <w:tcW w:type="dxa" w:w="348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No silent fallback</w:t>
            </w:r>
          </w:p>
        </w:tc>
        <w:tc>
          <w:tcPr>
            <w:tcW w:type="dxa" w:w="488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Vendor failure is visible and source set never changes silently</w:t>
            </w:r>
          </w:p>
        </w:tc>
      </w:tr>
      <w:tr>
        <w:tc>
          <w:tcPr>
            <w:tcW w:type="dxa" w:w="10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AT-13</w:t>
            </w:r>
          </w:p>
        </w:tc>
        <w:tc>
          <w:tcPr>
            <w:tcW w:type="dxa" w:w="348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Leakage controls</w:t>
            </w:r>
          </w:p>
        </w:tc>
        <w:tc>
          <w:tcPr>
            <w:tcW w:type="dxa" w:w="488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Shuffle/shift/permutation controls collapse skill or trigger alarm</w:t>
            </w:r>
          </w:p>
        </w:tc>
      </w:tr>
      <w:tr>
        <w:tc>
          <w:tcPr>
            <w:tcW w:type="dxa" w:w="10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AT-14</w:t>
            </w:r>
          </w:p>
        </w:tc>
        <w:tc>
          <w:tcPr>
            <w:tcW w:type="dxa" w:w="348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Promotion guard</w:t>
            </w:r>
          </w:p>
        </w:tc>
        <w:tc>
          <w:tcPr>
            <w:tcW w:type="dxa" w:w="488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No artifact activates without all approvals and hashes</w:t>
            </w:r>
          </w:p>
        </w:tc>
      </w:tr>
      <w:tr>
        <w:tc>
          <w:tcPr>
            <w:tcW w:type="dxa" w:w="10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AT-15</w:t>
            </w:r>
          </w:p>
        </w:tc>
        <w:tc>
          <w:tcPr>
            <w:tcW w:type="dxa" w:w="348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Rollback</w:t>
            </w:r>
          </w:p>
        </w:tc>
        <w:tc>
          <w:tcPr>
            <w:tcW w:type="dxa" w:w="488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Previous release restored and verified within 10 minutes</w:t>
            </w:r>
          </w:p>
        </w:tc>
      </w:tr>
      <w:tr>
        <w:trPr>
          <w:cantSplit/>
        </w:trPr>
        <w:tc>
          <w:tcPr>
            <w:tcW w:type="dxa" w:w="1000"/>
            <w:tcMar>
              <w:top w:w="80" w:type="dxa"/>
              <w:start w:w="120" w:type="dxa"/>
              <w:bottom w:w="80" w:type="dxa"/>
              <w:end w:w="120" w:type="dxa"/>
            </w:tcMar>
          </w:tcPr>
          <w:p>
            <w:pPr>
              <w:spacing w:after="0"/>
            </w:pPr>
            <w:r>
              <w:rPr>
                <w:rFonts w:ascii="Calibri" w:hAnsi="Calibri"/>
                <w:sz w:val="18"/>
              </w:rPr>
              <w:t>AT-16</w:t>
            </w:r>
          </w:p>
        </w:tc>
        <w:tc>
          <w:tcPr>
            <w:tcW w:type="dxa" w:w="3480"/>
            <w:tcMar>
              <w:top w:w="80" w:type="dxa"/>
              <w:start w:w="120" w:type="dxa"/>
              <w:bottom w:w="80" w:type="dxa"/>
              <w:end w:w="120" w:type="dxa"/>
            </w:tcMar>
          </w:tcPr>
          <w:p>
            <w:pPr>
              <w:spacing w:after="0"/>
            </w:pPr>
            <w:r>
              <w:rPr>
                <w:rFonts w:ascii="Calibri" w:hAnsi="Calibri"/>
                <w:sz w:val="18"/>
              </w:rPr>
              <w:t>Multi-symbol preservation</w:t>
            </w:r>
          </w:p>
        </w:tc>
        <w:tc>
          <w:tcPr>
            <w:tcW w:type="dxa" w:w="4880"/>
            <w:tcMar>
              <w:top w:w="80" w:type="dxa"/>
              <w:start w:w="120" w:type="dxa"/>
              <w:bottom w:w="80" w:type="dxa"/>
              <w:end w:w="120" w:type="dxa"/>
            </w:tcMar>
          </w:tcPr>
          <w:p>
            <w:pPr>
              <w:spacing w:after="0"/>
            </w:pPr>
            <w:r>
              <w:rPr>
                <w:rFonts w:ascii="Calibri" w:hAnsi="Calibri"/>
                <w:sz w:val="18"/>
              </w:rPr>
              <w:t>Every requested ticker produces exactly one result or one reason-coded status</w:t>
            </w:r>
          </w:p>
        </w:tc>
      </w:tr>
      <w:tr>
        <w:trPr>
          <w:cantSplit/>
        </w:trPr>
        <w:tc>
          <w:tcPr>
            <w:tcW w:type="dxa" w:w="1000"/>
            <w:tcMar>
              <w:top w:w="80" w:type="dxa"/>
              <w:start w:w="120" w:type="dxa"/>
              <w:bottom w:w="80" w:type="dxa"/>
              <w:end w:w="120" w:type="dxa"/>
            </w:tcMar>
          </w:tcPr>
          <w:p>
            <w:pPr>
              <w:spacing w:after="0"/>
            </w:pPr>
            <w:r>
              <w:rPr>
                <w:rFonts w:ascii="Calibri" w:hAnsi="Calibri"/>
                <w:sz w:val="18"/>
              </w:rPr>
              <w:t>AT-17</w:t>
            </w:r>
          </w:p>
        </w:tc>
        <w:tc>
          <w:tcPr>
            <w:tcW w:type="dxa" w:w="3480"/>
            <w:tcMar>
              <w:top w:w="80" w:type="dxa"/>
              <w:start w:w="120" w:type="dxa"/>
              <w:bottom w:w="80" w:type="dxa"/>
              <w:end w:w="120" w:type="dxa"/>
            </w:tcMar>
          </w:tcPr>
          <w:p>
            <w:pPr>
              <w:spacing w:after="0"/>
            </w:pPr>
            <w:r>
              <w:rPr>
                <w:rFonts w:ascii="Calibri" w:hAnsi="Calibri"/>
                <w:sz w:val="18"/>
              </w:rPr>
              <w:t>Partial failure isolation</w:t>
            </w:r>
          </w:p>
        </w:tc>
        <w:tc>
          <w:tcPr>
            <w:tcW w:type="dxa" w:w="4880"/>
            <w:tcMar>
              <w:top w:w="80" w:type="dxa"/>
              <w:start w:w="120" w:type="dxa"/>
              <w:bottom w:w="80" w:type="dxa"/>
              <w:end w:w="120" w:type="dxa"/>
            </w:tcMar>
          </w:tcPr>
          <w:p>
            <w:pPr>
              <w:spacing w:after="0"/>
            </w:pPr>
            <w:r>
              <w:rPr>
                <w:rFonts w:ascii="Calibri" w:hAnsi="Calibri"/>
                <w:sz w:val="18"/>
              </w:rPr>
              <w:t>One stale/unsupported asset does not suppress valid results for other requested assets</w:t>
            </w:r>
          </w:p>
        </w:tc>
      </w:tr>
      <w:tr>
        <w:trPr>
          <w:cantSplit/>
        </w:trPr>
        <w:tc>
          <w:tcPr>
            <w:tcW w:type="dxa" w:w="1000"/>
            <w:tcMar>
              <w:top w:w="80" w:type="dxa"/>
              <w:start w:w="120" w:type="dxa"/>
              <w:bottom w:w="80" w:type="dxa"/>
              <w:end w:w="120" w:type="dxa"/>
            </w:tcMar>
          </w:tcPr>
          <w:p>
            <w:pPr>
              <w:spacing w:after="0"/>
            </w:pPr>
            <w:r>
              <w:rPr>
                <w:rFonts w:ascii="Calibri" w:hAnsi="Calibri"/>
                <w:sz w:val="18"/>
              </w:rPr>
              <w:t>AT-18</w:t>
            </w:r>
          </w:p>
        </w:tc>
        <w:tc>
          <w:tcPr>
            <w:tcW w:type="dxa" w:w="3480"/>
            <w:tcMar>
              <w:top w:w="80" w:type="dxa"/>
              <w:start w:w="120" w:type="dxa"/>
              <w:bottom w:w="80" w:type="dxa"/>
              <w:end w:w="120" w:type="dxa"/>
            </w:tcMar>
          </w:tcPr>
          <w:p>
            <w:pPr>
              <w:spacing w:after="0"/>
            </w:pPr>
            <w:r>
              <w:rPr>
                <w:rFonts w:ascii="Calibri" w:hAnsi="Calibri"/>
                <w:sz w:val="18"/>
              </w:rPr>
              <w:t>Explicit ticker-class identity</w:t>
            </w:r>
          </w:p>
        </w:tc>
        <w:tc>
          <w:tcPr>
            <w:tcW w:type="dxa" w:w="4880"/>
            <w:tcMar>
              <w:top w:w="80" w:type="dxa"/>
              <w:start w:w="120" w:type="dxa"/>
              <w:bottom w:w="80" w:type="dxa"/>
              <w:end w:w="120" w:type="dxa"/>
            </w:tcMar>
          </w:tcPr>
          <w:p>
            <w:pPr>
              <w:spacing w:after="0"/>
            </w:pPr>
            <w:r>
              <w:rPr>
                <w:rFonts w:ascii="Calibri" w:hAnsi="Calibri"/>
                <w:sz w:val="18"/>
              </w:rPr>
              <w:t>GOOG and GOOGL remain distinct when the ticker is explicit; company-name aliases are disclosed</w:t>
            </w:r>
          </w:p>
        </w:tc>
      </w:tr>
      <w:tr>
        <w:trPr>
          <w:cantSplit/>
        </w:trPr>
        <w:tc>
          <w:tcPr>
            <w:tcW w:type="dxa" w:w="1000"/>
            <w:tcMar>
              <w:top w:w="80" w:type="dxa"/>
              <w:start w:w="120" w:type="dxa"/>
              <w:bottom w:w="80" w:type="dxa"/>
              <w:end w:w="120" w:type="dxa"/>
            </w:tcMar>
          </w:tcPr>
          <w:p>
            <w:pPr>
              <w:spacing w:after="0"/>
            </w:pPr>
            <w:r>
              <w:rPr>
                <w:rFonts w:ascii="Calibri" w:hAnsi="Calibri"/>
                <w:sz w:val="18"/>
              </w:rPr>
              <w:t>AT-19</w:t>
            </w:r>
          </w:p>
        </w:tc>
        <w:tc>
          <w:tcPr>
            <w:tcW w:type="dxa" w:w="3480"/>
            <w:tcMar>
              <w:top w:w="80" w:type="dxa"/>
              <w:start w:w="120" w:type="dxa"/>
              <w:bottom w:w="80" w:type="dxa"/>
              <w:end w:w="120" w:type="dxa"/>
            </w:tcMar>
          </w:tcPr>
          <w:p>
            <w:pPr>
              <w:spacing w:after="0"/>
            </w:pPr>
            <w:r>
              <w:rPr>
                <w:rFonts w:ascii="Calibri" w:hAnsi="Calibri"/>
                <w:sz w:val="18"/>
              </w:rPr>
              <w:t>Short-history security</w:t>
            </w:r>
          </w:p>
        </w:tc>
        <w:tc>
          <w:tcPr>
            <w:tcW w:type="dxa" w:w="4880"/>
            <w:tcMar>
              <w:top w:w="80" w:type="dxa"/>
              <w:start w:w="120" w:type="dxa"/>
              <w:bottom w:w="80" w:type="dxa"/>
              <w:end w:w="120" w:type="dxa"/>
            </w:tcMar>
          </w:tcPr>
          <w:p>
            <w:pPr>
              <w:spacing w:after="0"/>
            </w:pPr>
            <w:r>
              <w:rPr>
                <w:rFonts w:ascii="Calibri" w:hAnsi="Calibri"/>
                <w:sz w:val="18"/>
              </w:rPr>
              <w:t>SNDK uses only the current standalone listing and is never spliced to the pre-2016 security</w:t>
            </w:r>
          </w:p>
        </w:tc>
      </w:tr>
      <w:tr>
        <w:trPr>
          <w:cantSplit/>
        </w:trPr>
        <w:tc>
          <w:tcPr>
            <w:tcW w:type="dxa" w:w="1000"/>
            <w:tcMar>
              <w:top w:w="80" w:type="dxa"/>
              <w:start w:w="120" w:type="dxa"/>
              <w:bottom w:w="80" w:type="dxa"/>
              <w:end w:w="120" w:type="dxa"/>
            </w:tcMar>
          </w:tcPr>
          <w:p>
            <w:pPr>
              <w:spacing w:after="0"/>
            </w:pPr>
            <w:r>
              <w:rPr>
                <w:rFonts w:ascii="Calibri" w:hAnsi="Calibri"/>
                <w:sz w:val="18"/>
              </w:rPr>
              <w:t>AT-20</w:t>
            </w:r>
          </w:p>
        </w:tc>
        <w:tc>
          <w:tcPr>
            <w:tcW w:type="dxa" w:w="3480"/>
            <w:tcMar>
              <w:top w:w="80" w:type="dxa"/>
              <w:start w:w="120" w:type="dxa"/>
              <w:bottom w:w="80" w:type="dxa"/>
              <w:end w:w="120" w:type="dxa"/>
            </w:tcMar>
          </w:tcPr>
          <w:p>
            <w:pPr>
              <w:spacing w:after="0"/>
            </w:pPr>
            <w:r>
              <w:rPr>
                <w:rFonts w:ascii="Calibri" w:hAnsi="Calibri"/>
                <w:sz w:val="18"/>
              </w:rPr>
              <w:t>Proxy-label integrity</w:t>
            </w:r>
          </w:p>
        </w:tc>
        <w:tc>
          <w:tcPr>
            <w:tcW w:type="dxa" w:w="4880"/>
            <w:tcMar>
              <w:top w:w="80" w:type="dxa"/>
              <w:start w:w="120" w:type="dxa"/>
              <w:bottom w:w="80" w:type="dxa"/>
              <w:end w:w="120" w:type="dxa"/>
            </w:tcMar>
          </w:tcPr>
          <w:p>
            <w:pPr>
              <w:spacing w:after="0"/>
            </w:pPr>
            <w:r>
              <w:rPr>
                <w:rFonts w:ascii="Calibri" w:hAnsi="Calibri"/>
                <w:sz w:val="18"/>
              </w:rPr>
              <w:t>A MU, AMZN, GOOG, or SNDK observation cannot render SPX/SPY proxy copy</w:t>
            </w:r>
          </w:p>
        </w:tc>
      </w:tr>
      <w:tr>
        <w:trPr>
          <w:cantSplit/>
        </w:trPr>
        <w:tc>
          <w:tcPr>
            <w:tcW w:type="dxa" w:w="1000"/>
            <w:tcMar>
              <w:top w:w="80" w:type="dxa"/>
              <w:start w:w="120" w:type="dxa"/>
              <w:bottom w:w="80" w:type="dxa"/>
              <w:end w:w="120" w:type="dxa"/>
            </w:tcMar>
          </w:tcPr>
          <w:p>
            <w:pPr>
              <w:spacing w:after="0"/>
            </w:pPr>
            <w:r>
              <w:rPr>
                <w:rFonts w:ascii="Calibri" w:hAnsi="Calibri"/>
                <w:sz w:val="18"/>
              </w:rPr>
              <w:t>AT-21</w:t>
            </w:r>
          </w:p>
        </w:tc>
        <w:tc>
          <w:tcPr>
            <w:tcW w:type="dxa" w:w="3480"/>
            <w:tcMar>
              <w:top w:w="80" w:type="dxa"/>
              <w:start w:w="120" w:type="dxa"/>
              <w:bottom w:w="80" w:type="dxa"/>
              <w:end w:w="120" w:type="dxa"/>
            </w:tcMar>
          </w:tcPr>
          <w:p>
            <w:pPr>
              <w:spacing w:after="0"/>
            </w:pPr>
            <w:r>
              <w:rPr>
                <w:rFonts w:ascii="Calibri" w:hAnsi="Calibri"/>
                <w:sz w:val="18"/>
              </w:rPr>
              <w:t>AWS durability</w:t>
            </w:r>
          </w:p>
        </w:tc>
        <w:tc>
          <w:tcPr>
            <w:tcW w:type="dxa" w:w="4880"/>
            <w:tcMar>
              <w:top w:w="80" w:type="dxa"/>
              <w:start w:w="120" w:type="dxa"/>
              <w:bottom w:w="80" w:type="dxa"/>
              <w:end w:w="120" w:type="dxa"/>
            </w:tcMar>
          </w:tcPr>
          <w:p>
            <w:pPr>
              <w:spacing w:after="0"/>
            </w:pPr>
            <w:r>
              <w:rPr>
                <w:rFonts w:ascii="Calibri" w:hAnsi="Calibri"/>
                <w:sz w:val="18"/>
              </w:rPr>
              <w:t>Raw manifests, feature snapshots, forecasts, abstentions, and outcomes survive restart and restore</w:t>
            </w:r>
          </w:p>
        </w:tc>
      </w:tr>
      <w:tr>
        <w:trPr>
          <w:cantSplit/>
        </w:trPr>
        <w:tc>
          <w:tcPr>
            <w:tcW w:type="dxa" w:w="1000"/>
            <w:tcMar>
              <w:top w:w="80" w:type="dxa"/>
              <w:start w:w="120" w:type="dxa"/>
              <w:bottom w:w="80" w:type="dxa"/>
              <w:end w:w="120" w:type="dxa"/>
            </w:tcMar>
          </w:tcPr>
          <w:p>
            <w:pPr>
              <w:spacing w:after="0"/>
            </w:pPr>
            <w:r>
              <w:rPr>
                <w:rFonts w:ascii="Calibri" w:hAnsi="Calibri"/>
                <w:sz w:val="18"/>
              </w:rPr>
              <w:t>AT-22</w:t>
            </w:r>
          </w:p>
        </w:tc>
        <w:tc>
          <w:tcPr>
            <w:tcW w:type="dxa" w:w="3480"/>
            <w:tcMar>
              <w:top w:w="80" w:type="dxa"/>
              <w:start w:w="120" w:type="dxa"/>
              <w:bottom w:w="80" w:type="dxa"/>
              <w:end w:w="120" w:type="dxa"/>
            </w:tcMar>
          </w:tcPr>
          <w:p>
            <w:pPr>
              <w:spacing w:after="0"/>
            </w:pPr>
            <w:r>
              <w:rPr>
                <w:rFonts w:ascii="Calibri" w:hAnsi="Calibri"/>
                <w:sz w:val="18"/>
              </w:rPr>
              <w:t>Idempotent ingestion</w:t>
            </w:r>
          </w:p>
        </w:tc>
        <w:tc>
          <w:tcPr>
            <w:tcW w:type="dxa" w:w="4880"/>
            <w:tcMar>
              <w:top w:w="80" w:type="dxa"/>
              <w:start w:w="120" w:type="dxa"/>
              <w:bottom w:w="80" w:type="dxa"/>
              <w:end w:w="120" w:type="dxa"/>
            </w:tcMar>
          </w:tcPr>
          <w:p>
            <w:pPr>
              <w:spacing w:after="0"/>
            </w:pPr>
            <w:r>
              <w:rPr>
                <w:rFonts w:ascii="Calibri" w:hAnsi="Calibri"/>
                <w:sz w:val="18"/>
              </w:rPr>
              <w:t>Replay of the same vendor event/manifest creates no duplicate canonical observation</w:t>
            </w:r>
          </w:p>
        </w:tc>
      </w:tr>
      <w:tr>
        <w:trPr>
          <w:cantSplit/>
        </w:trPr>
        <w:tc>
          <w:tcPr>
            <w:tcW w:type="dxa" w:w="1000"/>
            <w:tcMar>
              <w:top w:w="80" w:type="dxa"/>
              <w:start w:w="120" w:type="dxa"/>
              <w:bottom w:w="80" w:type="dxa"/>
              <w:end w:w="120" w:type="dxa"/>
            </w:tcMar>
          </w:tcPr>
          <w:p>
            <w:pPr>
              <w:spacing w:after="0"/>
            </w:pPr>
            <w:r>
              <w:rPr>
                <w:rFonts w:ascii="Calibri" w:hAnsi="Calibri"/>
                <w:sz w:val="18"/>
              </w:rPr>
              <w:t>AT-23</w:t>
            </w:r>
          </w:p>
        </w:tc>
        <w:tc>
          <w:tcPr>
            <w:tcW w:type="dxa" w:w="3480"/>
            <w:tcMar>
              <w:top w:w="80" w:type="dxa"/>
              <w:start w:w="120" w:type="dxa"/>
              <w:bottom w:w="80" w:type="dxa"/>
              <w:end w:w="120" w:type="dxa"/>
            </w:tcMar>
          </w:tcPr>
          <w:p>
            <w:pPr>
              <w:spacing w:after="0"/>
            </w:pPr>
            <w:r>
              <w:rPr>
                <w:rFonts w:ascii="Calibri" w:hAnsi="Calibri"/>
                <w:sz w:val="18"/>
              </w:rPr>
              <w:t>Point-in-time taxonomy</w:t>
            </w:r>
          </w:p>
        </w:tc>
        <w:tc>
          <w:tcPr>
            <w:tcW w:type="dxa" w:w="4880"/>
            <w:tcMar>
              <w:top w:w="80" w:type="dxa"/>
              <w:start w:w="120" w:type="dxa"/>
              <w:bottom w:w="80" w:type="dxa"/>
              <w:end w:w="120" w:type="dxa"/>
            </w:tcMar>
          </w:tcPr>
          <w:p>
            <w:pPr>
              <w:spacing w:after="0"/>
            </w:pPr>
            <w:r>
              <w:rPr>
                <w:rFonts w:ascii="Calibri" w:hAnsi="Calibri"/>
                <w:sz w:val="18"/>
              </w:rPr>
              <w:t>Sector membership and symbol mappings match what was knowable at each cutoff</w:t>
            </w:r>
          </w:p>
        </w:tc>
      </w:tr>
      <w:tr>
        <w:trPr>
          <w:cantSplit/>
        </w:trPr>
        <w:tc>
          <w:tcPr>
            <w:tcW w:type="dxa" w:w="1000"/>
            <w:tcMar>
              <w:top w:w="80" w:type="dxa"/>
              <w:start w:w="120" w:type="dxa"/>
              <w:bottom w:w="80" w:type="dxa"/>
              <w:end w:w="120" w:type="dxa"/>
            </w:tcMar>
          </w:tcPr>
          <w:p>
            <w:pPr>
              <w:spacing w:after="0"/>
            </w:pPr>
            <w:r>
              <w:rPr>
                <w:rFonts w:ascii="Calibri" w:hAnsi="Calibri"/>
                <w:sz w:val="18"/>
              </w:rPr>
              <w:t>AT-24</w:t>
            </w:r>
          </w:p>
        </w:tc>
        <w:tc>
          <w:tcPr>
            <w:tcW w:type="dxa" w:w="3480"/>
            <w:tcMar>
              <w:top w:w="80" w:type="dxa"/>
              <w:start w:w="120" w:type="dxa"/>
              <w:bottom w:w="80" w:type="dxa"/>
              <w:end w:w="120" w:type="dxa"/>
            </w:tcMar>
          </w:tcPr>
          <w:p>
            <w:pPr>
              <w:spacing w:after="0"/>
            </w:pPr>
            <w:r>
              <w:rPr>
                <w:rFonts w:ascii="Calibri" w:hAnsi="Calibri"/>
                <w:sz w:val="18"/>
              </w:rPr>
              <w:t>Rotation baseline</w:t>
            </w:r>
          </w:p>
        </w:tc>
        <w:tc>
          <w:tcPr>
            <w:tcW w:type="dxa" w:w="4880"/>
            <w:tcMar>
              <w:top w:w="80" w:type="dxa"/>
              <w:start w:w="120" w:type="dxa"/>
              <w:bottom w:w="80" w:type="dxa"/>
              <w:end w:w="120" w:type="dxa"/>
            </w:tcMar>
          </w:tcPr>
          <w:p>
            <w:pPr>
              <w:spacing w:after="0"/>
            </w:pPr>
            <w:r>
              <w:rPr>
                <w:rFonts w:ascii="Calibri" w:hAnsi="Calibri"/>
                <w:sz w:val="18"/>
              </w:rPr>
              <w:t>Rotation models report lift versus equal-weight, persistence, and simple relative-momentum baselines</w:t>
            </w:r>
          </w:p>
        </w:tc>
      </w:tr>
      <w:tr>
        <w:trPr>
          <w:cantSplit/>
        </w:trPr>
        <w:tc>
          <w:tcPr>
            <w:tcW w:type="dxa" w:w="1000"/>
            <w:tcMar>
              <w:top w:w="80" w:type="dxa"/>
              <w:start w:w="120" w:type="dxa"/>
              <w:bottom w:w="80" w:type="dxa"/>
              <w:end w:w="120" w:type="dxa"/>
            </w:tcMar>
          </w:tcPr>
          <w:p>
            <w:pPr>
              <w:spacing w:after="0"/>
            </w:pPr>
            <w:r>
              <w:rPr>
                <w:rFonts w:ascii="Calibri" w:hAnsi="Calibri"/>
                <w:sz w:val="18"/>
              </w:rPr>
              <w:t>AT-25</w:t>
            </w:r>
          </w:p>
        </w:tc>
        <w:tc>
          <w:tcPr>
            <w:tcW w:type="dxa" w:w="3480"/>
            <w:tcMar>
              <w:top w:w="80" w:type="dxa"/>
              <w:start w:w="120" w:type="dxa"/>
              <w:bottom w:w="80" w:type="dxa"/>
              <w:end w:w="120" w:type="dxa"/>
            </w:tcMar>
          </w:tcPr>
          <w:p>
            <w:pPr>
              <w:spacing w:after="0"/>
            </w:pPr>
            <w:r>
              <w:rPr>
                <w:rFonts w:ascii="Calibri" w:hAnsi="Calibri"/>
                <w:sz w:val="18"/>
              </w:rPr>
              <w:t>Martingale superiority gate</w:t>
            </w:r>
          </w:p>
        </w:tc>
        <w:tc>
          <w:tcPr>
            <w:tcW w:type="dxa" w:w="4880"/>
            <w:tcMar>
              <w:top w:w="80" w:type="dxa"/>
              <w:start w:w="120" w:type="dxa"/>
              <w:bottom w:w="80" w:type="dxa"/>
              <w:end w:w="120" w:type="dxa"/>
            </w:tcMar>
          </w:tcPr>
          <w:p>
            <w:pPr>
              <w:spacing w:after="0"/>
            </w:pPr>
            <w:r>
              <w:rPr>
                <w:rFonts w:ascii="Calibri" w:hAnsi="Calibri"/>
                <w:sz w:val="18"/>
              </w:rPr>
              <w:t>Advanced models are withheld unless independent OOS skill improves on zero-return/current-price baselines</w:t>
            </w:r>
          </w:p>
        </w:tc>
      </w:tr>
    </w:tbl>
    <w:p>
      <w:pPr>
        <w:spacing w:after="40"/>
      </w:pPr>
    </w:p>
    <w:p>
      <w:pPr>
        <w:pStyle w:val="Heading1"/>
        <w:keepNext/>
        <w:pageBreakBefore w:val="0"/>
        <w:spacing w:before="320" w:after="160"/>
        <w:ind w:left="0" w:firstLine="0"/>
        <w:jc w:val="left"/>
      </w:pPr>
      <w:r>
        <w:t>18. Production Incident Diagnosis: Why One Result Appeared</w:t>
      </w:r>
    </w:p>
    <w:p>
      <w:pPr/>
      <w:r>
        <w:t>The observed output is not a four-symbol forecast. It is a one-symbol historical session observation produced after three requested symbols were removed by the query compiler and the live model path produced no candidate. The deterministic explanation notice describes only how prose was rendered; it did not choose MU and did not cause the cardinality loss.</w:t>
      </w:r>
    </w:p>
    <w:p>
      <w:pPr>
        <w:pStyle w:val="Heading2"/>
        <w:keepNext/>
        <w:pageBreakBefore w:val="0"/>
        <w:spacing w:before="240" w:after="120"/>
        <w:ind w:left="0" w:firstLine="0"/>
        <w:jc w:val="left"/>
      </w:pPr>
      <w:r>
        <w:t>18.1 Evidence path for the exact request</w:t>
      </w:r>
    </w:p>
    <w:tbl>
      <w:tblPr>
        <w:tblW w:type="dxa" w:w="9360"/>
        <w:jc w:val="center"/>
        <w:tblLayout w:type="fixed"/>
        <w:tblLook w:firstColumn="1" w:firstRow="1" w:lastColumn="0" w:lastRow="0" w:noHBand="0" w:noVBand="1" w:val="04A0"/>
      </w:tblPr>
      <w:tblGrid>
        <w:gridCol w:w="1498"/>
        <w:gridCol w:w="4399"/>
        <w:gridCol w:w="3463"/>
      </w:tblGrid>
      <w:tr>
        <w:trPr>
          <w:tblHeader w:val="true"/>
          <w:cantSplit/>
        </w:trPr>
        <w:tc>
          <w:tcPr>
            <w:tcW w:type="dxa" w:w="1498"/>
            <w:tcMar>
              <w:top w:w="80" w:type="dxa"/>
              <w:start w:w="120" w:type="dxa"/>
              <w:bottom w:w="80" w:type="dxa"/>
              <w:end w:w="120" w:type="dxa"/>
            </w:tcMar>
            <w:vAlign w:val="center"/>
            <w:shd w:fill="F2F4F7"/>
          </w:tcPr>
          <w:p>
            <w:pPr>
              <w:spacing w:after="0" w:line="240" w:lineRule="auto"/>
            </w:pPr>
            <w:r>
              <w:rPr>
                <w:rFonts w:ascii="Calibri" w:hAnsi="Calibri"/>
                <w:b/>
                <w:color w:val="1F4D78"/>
                <w:sz w:val="18"/>
              </w:rPr>
              <w:t>Stage</w:t>
            </w:r>
          </w:p>
        </w:tc>
        <w:tc>
          <w:tcPr>
            <w:tcW w:type="dxa" w:w="4399"/>
            <w:tcMar>
              <w:top w:w="80" w:type="dxa"/>
              <w:start w:w="120" w:type="dxa"/>
              <w:bottom w:w="80" w:type="dxa"/>
              <w:end w:w="120" w:type="dxa"/>
            </w:tcMar>
            <w:vAlign w:val="center"/>
            <w:shd w:fill="F2F4F7"/>
          </w:tcPr>
          <w:p>
            <w:pPr>
              <w:spacing w:after="0" w:line="240" w:lineRule="auto"/>
            </w:pPr>
            <w:r>
              <w:rPr>
                <w:rFonts w:ascii="Calibri" w:hAnsi="Calibri"/>
                <w:b/>
                <w:color w:val="1F4D78"/>
                <w:sz w:val="18"/>
              </w:rPr>
              <w:t>Implemented behavior</w:t>
            </w:r>
          </w:p>
        </w:tc>
        <w:tc>
          <w:tcPr>
            <w:tcW w:type="dxa" w:w="3463"/>
            <w:tcMar>
              <w:top w:w="80" w:type="dxa"/>
              <w:start w:w="120" w:type="dxa"/>
              <w:bottom w:w="80" w:type="dxa"/>
              <w:end w:w="120" w:type="dxa"/>
            </w:tcMar>
            <w:vAlign w:val="center"/>
            <w:shd w:fill="F2F4F7"/>
          </w:tcPr>
          <w:p>
            <w:pPr>
              <w:spacing w:after="0" w:line="240" w:lineRule="auto"/>
            </w:pPr>
            <w:r>
              <w:rPr>
                <w:rFonts w:ascii="Calibri" w:hAnsi="Calibri"/>
                <w:b/>
                <w:color w:val="1F4D78"/>
                <w:sz w:val="18"/>
              </w:rPr>
              <w:t>User-visible consequence</w:t>
            </w:r>
          </w:p>
        </w:tc>
      </w:tr>
      <w:tr>
        <w:trPr>
          <w:cantSplit/>
        </w:trPr>
        <w:tc>
          <w:tcPr>
            <w:tcW w:type="dxa" w:w="1498"/>
            <w:tcMar>
              <w:top w:w="80" w:type="dxa"/>
              <w:start w:w="120" w:type="dxa"/>
              <w:bottom w:w="80" w:type="dxa"/>
              <w:end w:w="120" w:type="dxa"/>
            </w:tcMar>
            <w:vAlign w:val="center"/>
          </w:tcPr>
          <w:p>
            <w:pPr>
              <w:spacing w:after="0" w:line="240" w:lineRule="auto"/>
            </w:pPr>
            <w:r>
              <w:rPr>
                <w:rFonts w:ascii="Calibri" w:hAnsi="Calibri"/>
                <w:sz w:val="18"/>
              </w:rPr>
              <w:t>Input</w:t>
            </w:r>
          </w:p>
        </w:tc>
        <w:tc>
          <w:tcPr>
            <w:tcW w:type="dxa" w:w="4399"/>
            <w:tcMar>
              <w:top w:w="80" w:type="dxa"/>
              <w:start w:w="120" w:type="dxa"/>
              <w:bottom w:w="80" w:type="dxa"/>
              <w:end w:w="120" w:type="dxa"/>
            </w:tcMar>
            <w:vAlign w:val="center"/>
          </w:tcPr>
          <w:p>
            <w:pPr>
              <w:spacing w:after="0" w:line="240" w:lineRule="auto"/>
            </w:pPr>
            <w:r>
              <w:rPr>
                <w:rFonts w:ascii="Calibri" w:hAnsi="Calibri"/>
                <w:sz w:val="18"/>
              </w:rPr>
              <w:t>User entered: goog amzn mu sndk</w:t>
            </w:r>
          </w:p>
        </w:tc>
        <w:tc>
          <w:tcPr>
            <w:tcW w:type="dxa" w:w="3463"/>
            <w:tcMar>
              <w:top w:w="80" w:type="dxa"/>
              <w:start w:w="120" w:type="dxa"/>
              <w:bottom w:w="80" w:type="dxa"/>
              <w:end w:w="120" w:type="dxa"/>
            </w:tcMar>
            <w:vAlign w:val="center"/>
          </w:tcPr>
          <w:p>
            <w:pPr>
              <w:spacing w:after="0" w:line="240" w:lineRule="auto"/>
            </w:pPr>
            <w:r>
              <w:rPr>
                <w:rFonts w:ascii="Calibri" w:hAnsi="Calibri"/>
                <w:sz w:val="18"/>
              </w:rPr>
              <w:t>Four explicit assets were intended</w:t>
            </w:r>
          </w:p>
        </w:tc>
      </w:tr>
      <w:tr>
        <w:trPr>
          <w:cantSplit/>
        </w:trPr>
        <w:tc>
          <w:tcPr>
            <w:tcW w:type="dxa" w:w="1498"/>
            <w:tcMar>
              <w:top w:w="80" w:type="dxa"/>
              <w:start w:w="120" w:type="dxa"/>
              <w:bottom w:w="80" w:type="dxa"/>
              <w:end w:w="120" w:type="dxa"/>
            </w:tcMar>
            <w:vAlign w:val="center"/>
          </w:tcPr>
          <w:p>
            <w:pPr>
              <w:spacing w:after="0" w:line="240" w:lineRule="auto"/>
            </w:pPr>
            <w:r>
              <w:rPr>
                <w:rFonts w:ascii="Calibri" w:hAnsi="Calibri"/>
                <w:sz w:val="18"/>
              </w:rPr>
              <w:t>Universe filter</w:t>
            </w:r>
          </w:p>
        </w:tc>
        <w:tc>
          <w:tcPr>
            <w:tcW w:type="dxa" w:w="4399"/>
            <w:tcMar>
              <w:top w:w="80" w:type="dxa"/>
              <w:start w:w="120" w:type="dxa"/>
              <w:bottom w:w="80" w:type="dxa"/>
              <w:end w:w="120" w:type="dxa"/>
            </w:tcMar>
            <w:vAlign w:val="center"/>
          </w:tcPr>
          <w:p>
            <w:pPr>
              <w:spacing w:after="0" w:line="240" w:lineRule="auto"/>
            </w:pPr>
            <w:r>
              <w:rPr>
                <w:rFonts w:ascii="Calibri" w:hAnsi="Calibri"/>
                <w:sz w:val="18"/>
              </w:rPr>
              <w:t>Production PUBLIC_UNIVERSE contains SPX, QQQ, NVDA, AAPL, MU, SOXX, NBIS, BE, IGV</w:t>
            </w:r>
          </w:p>
        </w:tc>
        <w:tc>
          <w:tcPr>
            <w:tcW w:type="dxa" w:w="3463"/>
            <w:tcMar>
              <w:top w:w="80" w:type="dxa"/>
              <w:start w:w="120" w:type="dxa"/>
              <w:bottom w:w="80" w:type="dxa"/>
              <w:end w:w="120" w:type="dxa"/>
            </w:tcMar>
            <w:vAlign w:val="center"/>
          </w:tcPr>
          <w:p>
            <w:pPr>
              <w:spacing w:after="0" w:line="240" w:lineRule="auto"/>
            </w:pPr>
            <w:r>
              <w:rPr>
                <w:rFonts w:ascii="Calibri" w:hAnsi="Calibri"/>
                <w:sz w:val="18"/>
              </w:rPr>
              <w:t>GOOG, AMZN, and SNDK were discarded; MU remained</w:t>
            </w:r>
          </w:p>
        </w:tc>
      </w:tr>
      <w:tr>
        <w:trPr>
          <w:cantSplit/>
        </w:trPr>
        <w:tc>
          <w:tcPr>
            <w:tcW w:type="dxa" w:w="1498"/>
            <w:tcMar>
              <w:top w:w="80" w:type="dxa"/>
              <w:start w:w="120" w:type="dxa"/>
              <w:bottom w:w="80" w:type="dxa"/>
              <w:end w:w="120" w:type="dxa"/>
            </w:tcMar>
            <w:vAlign w:val="center"/>
          </w:tcPr>
          <w:p>
            <w:pPr>
              <w:spacing w:after="0" w:line="240" w:lineRule="auto"/>
            </w:pPr>
            <w:r>
              <w:rPr>
                <w:rFonts w:ascii="Calibri" w:hAnsi="Calibri"/>
                <w:sz w:val="18"/>
              </w:rPr>
              <w:t>Model route</w:t>
            </w:r>
          </w:p>
        </w:tc>
        <w:tc>
          <w:tcPr>
            <w:tcW w:type="dxa" w:w="4399"/>
            <w:tcMar>
              <w:top w:w="80" w:type="dxa"/>
              <w:start w:w="120" w:type="dxa"/>
              <w:bottom w:w="80" w:type="dxa"/>
              <w:end w:w="120" w:type="dxa"/>
            </w:tcMar>
            <w:vAlign w:val="center"/>
          </w:tcPr>
          <w:p>
            <w:pPr>
              <w:spacing w:after="0" w:line="240" w:lineRule="auto"/>
            </w:pPr>
            <w:r>
              <w:rPr>
                <w:rFonts w:ascii="Calibri" w:hAnsi="Calibri"/>
                <w:sz w:val="18"/>
              </w:rPr>
              <w:t>Default setup is model_forecast; live feed was waiting and no candidate was publishable</w:t>
            </w:r>
          </w:p>
        </w:tc>
        <w:tc>
          <w:tcPr>
            <w:tcW w:type="dxa" w:w="3463"/>
            <w:tcMar>
              <w:top w:w="80" w:type="dxa"/>
              <w:start w:w="120" w:type="dxa"/>
              <w:bottom w:w="80" w:type="dxa"/>
              <w:end w:w="120" w:type="dxa"/>
            </w:tcMar>
            <w:vAlign w:val="center"/>
          </w:tcPr>
          <w:p>
            <w:pPr>
              <w:spacing w:after="0" w:line="240" w:lineRule="auto"/>
            </w:pPr>
            <w:r>
              <w:rPr>
                <w:rFonts w:ascii="Calibri" w:hAnsi="Calibri"/>
                <w:sz w:val="18"/>
              </w:rPr>
              <w:t>No live probability or official forecast was returned</w:t>
            </w:r>
          </w:p>
        </w:tc>
      </w:tr>
      <w:tr>
        <w:trPr>
          <w:cantSplit/>
        </w:trPr>
        <w:tc>
          <w:tcPr>
            <w:tcW w:type="dxa" w:w="1498"/>
            <w:tcMar>
              <w:top w:w="80" w:type="dxa"/>
              <w:start w:w="120" w:type="dxa"/>
              <w:bottom w:w="80" w:type="dxa"/>
              <w:end w:w="120" w:type="dxa"/>
            </w:tcMar>
            <w:vAlign w:val="center"/>
          </w:tcPr>
          <w:p>
            <w:pPr>
              <w:spacing w:after="0" w:line="240" w:lineRule="auto"/>
            </w:pPr>
            <w:r>
              <w:rPr>
                <w:rFonts w:ascii="Calibri" w:hAnsi="Calibri"/>
                <w:sz w:val="18"/>
              </w:rPr>
              <w:t>Fallback route</w:t>
            </w:r>
          </w:p>
        </w:tc>
        <w:tc>
          <w:tcPr>
            <w:tcW w:type="dxa" w:w="4399"/>
            <w:tcMar>
              <w:top w:w="80" w:type="dxa"/>
              <w:start w:w="120" w:type="dxa"/>
              <w:bottom w:w="80" w:type="dxa"/>
              <w:end w:w="120" w:type="dxa"/>
            </w:tcMar>
            <w:vAlign w:val="center"/>
          </w:tcPr>
          <w:p>
            <w:pPr>
              <w:spacing w:after="0" w:line="240" w:lineRule="auto"/>
            </w:pPr>
            <w:r>
              <w:rPr>
                <w:rFonts w:ascii="Calibri" w:hAnsi="Calibri"/>
                <w:sz w:val="18"/>
              </w:rPr>
              <w:t>When candidates.length == 0, /api/ask requests one session summary using symbols[0]</w:t>
            </w:r>
          </w:p>
        </w:tc>
        <w:tc>
          <w:tcPr>
            <w:tcW w:type="dxa" w:w="3463"/>
            <w:tcMar>
              <w:top w:w="80" w:type="dxa"/>
              <w:start w:w="120" w:type="dxa"/>
              <w:bottom w:w="80" w:type="dxa"/>
              <w:end w:w="120" w:type="dxa"/>
            </w:tcMar>
            <w:vAlign w:val="center"/>
          </w:tcPr>
          <w:p>
            <w:pPr>
              <w:spacing w:after="0" w:line="240" w:lineRule="auto"/>
            </w:pPr>
            <w:r>
              <w:rPr>
                <w:rFonts w:ascii="Calibri" w:hAnsi="Calibri"/>
                <w:sz w:val="18"/>
              </w:rPr>
              <w:t>Exactly one observed MU result was produced</w:t>
            </w:r>
          </w:p>
        </w:tc>
      </w:tr>
      <w:tr>
        <w:trPr>
          <w:cantSplit/>
        </w:trPr>
        <w:tc>
          <w:tcPr>
            <w:tcW w:type="dxa" w:w="1498"/>
            <w:tcMar>
              <w:top w:w="80" w:type="dxa"/>
              <w:start w:w="120" w:type="dxa"/>
              <w:bottom w:w="80" w:type="dxa"/>
              <w:end w:w="120" w:type="dxa"/>
            </w:tcMar>
            <w:vAlign w:val="center"/>
          </w:tcPr>
          <w:p>
            <w:pPr>
              <w:spacing w:after="0" w:line="240" w:lineRule="auto"/>
            </w:pPr>
            <w:r>
              <w:rPr>
                <w:rFonts w:ascii="Calibri" w:hAnsi="Calibri"/>
                <w:sz w:val="18"/>
              </w:rPr>
              <w:t>Presentation</w:t>
            </w:r>
          </w:p>
        </w:tc>
        <w:tc>
          <w:tcPr>
            <w:tcW w:type="dxa" w:w="4399"/>
            <w:tcMar>
              <w:top w:w="80" w:type="dxa"/>
              <w:start w:w="120" w:type="dxa"/>
              <w:bottom w:w="80" w:type="dxa"/>
              <w:end w:w="120" w:type="dxa"/>
            </w:tcMar>
            <w:vAlign w:val="center"/>
          </w:tcPr>
          <w:p>
            <w:pPr>
              <w:spacing w:after="0" w:line="240" w:lineRule="auto"/>
            </w:pPr>
            <w:r>
              <w:rPr>
                <w:rFonts w:ascii="Calibri" w:hAnsi="Calibri"/>
                <w:sz w:val="18"/>
              </w:rPr>
              <w:t>SessionSummaryDetails is a scalar branch</w:t>
            </w:r>
          </w:p>
        </w:tc>
        <w:tc>
          <w:tcPr>
            <w:tcW w:type="dxa" w:w="3463"/>
            <w:tcMar>
              <w:top w:w="80" w:type="dxa"/>
              <w:start w:w="120" w:type="dxa"/>
              <w:bottom w:w="80" w:type="dxa"/>
              <w:end w:w="120" w:type="dxa"/>
            </w:tcMar>
            <w:vAlign w:val="center"/>
          </w:tcPr>
          <w:p>
            <w:pPr>
              <w:spacing w:after="0" w:line="240" w:lineRule="auto"/>
            </w:pPr>
            <w:r>
              <w:rPr>
                <w:rFonts w:ascii="Calibri" w:hAnsi="Calibri"/>
                <w:sz w:val="18"/>
              </w:rPr>
              <w:t>The UI has no place to show a per-request asset result matrix</w:t>
            </w:r>
          </w:p>
        </w:tc>
      </w:tr>
      <w:tr>
        <w:trPr>
          <w:cantSplit/>
        </w:trPr>
        <w:tc>
          <w:tcPr>
            <w:tcW w:type="dxa" w:w="1498"/>
            <w:tcMar>
              <w:top w:w="80" w:type="dxa"/>
              <w:start w:w="120" w:type="dxa"/>
              <w:bottom w:w="80" w:type="dxa"/>
              <w:end w:w="120" w:type="dxa"/>
            </w:tcMar>
            <w:vAlign w:val="center"/>
          </w:tcPr>
          <w:p>
            <w:pPr>
              <w:spacing w:after="0" w:line="240" w:lineRule="auto"/>
            </w:pPr>
            <w:r>
              <w:rPr>
                <w:rFonts w:ascii="Calibri" w:hAnsi="Calibri"/>
                <w:sz w:val="18"/>
              </w:rPr>
              <w:t>Copy</w:t>
            </w:r>
          </w:p>
        </w:tc>
        <w:tc>
          <w:tcPr>
            <w:tcW w:type="dxa" w:w="4399"/>
            <w:tcMar>
              <w:top w:w="80" w:type="dxa"/>
              <w:start w:w="120" w:type="dxa"/>
              <w:bottom w:w="80" w:type="dxa"/>
              <w:end w:w="120" w:type="dxa"/>
            </w:tcMar>
            <w:vAlign w:val="center"/>
          </w:tcPr>
          <w:p>
            <w:pPr>
              <w:spacing w:after="0" w:line="240" w:lineRule="auto"/>
            </w:pPr>
            <w:r>
              <w:rPr>
                <w:rFonts w:ascii="Calibri" w:hAnsi="Calibri"/>
                <w:sz w:val="18"/>
              </w:rPr>
              <w:t>SPX proxy and SPY-&gt;SPX language is hard-coded in answer/disclaimer text</w:t>
            </w:r>
          </w:p>
        </w:tc>
        <w:tc>
          <w:tcPr>
            <w:tcW w:type="dxa" w:w="3463"/>
            <w:tcMar>
              <w:top w:w="80" w:type="dxa"/>
              <w:start w:w="120" w:type="dxa"/>
              <w:bottom w:w="80" w:type="dxa"/>
              <w:end w:w="120" w:type="dxa"/>
            </w:tcMar>
            <w:vAlign w:val="center"/>
          </w:tcPr>
          <w:p>
            <w:pPr>
              <w:spacing w:after="0" w:line="240" w:lineRule="auto"/>
            </w:pPr>
            <w:r>
              <w:rPr>
                <w:rFonts w:ascii="Calibri" w:hAnsi="Calibri"/>
                <w:sz w:val="18"/>
              </w:rPr>
              <w:t>The MU card and surrounding explanation contradict one another</w:t>
            </w:r>
          </w:p>
        </w:tc>
      </w:tr>
      <w:tr>
        <w:trPr>
          <w:cantSplit/>
        </w:trPr>
        <w:tc>
          <w:tcPr>
            <w:tcW w:type="dxa" w:w="1498"/>
            <w:tcMar>
              <w:top w:w="80" w:type="dxa"/>
              <w:start w:w="120" w:type="dxa"/>
              <w:bottom w:w="80" w:type="dxa"/>
              <w:end w:w="120" w:type="dxa"/>
            </w:tcMar>
            <w:vAlign w:val="center"/>
          </w:tcPr>
          <w:p>
            <w:pPr>
              <w:spacing w:after="0" w:line="240" w:lineRule="auto"/>
            </w:pPr>
            <w:r>
              <w:rPr>
                <w:rFonts w:ascii="Calibri" w:hAnsi="Calibri"/>
                <w:sz w:val="18"/>
              </w:rPr>
              <w:t>Narrative</w:t>
            </w:r>
          </w:p>
        </w:tc>
        <w:tc>
          <w:tcPr>
            <w:tcW w:type="dxa" w:w="4399"/>
            <w:tcMar>
              <w:top w:w="80" w:type="dxa"/>
              <w:start w:w="120" w:type="dxa"/>
              <w:bottom w:w="80" w:type="dxa"/>
              <w:end w:w="120" w:type="dxa"/>
            </w:tcMar>
            <w:vAlign w:val="center"/>
          </w:tcPr>
          <w:p>
            <w:pPr>
              <w:spacing w:after="0" w:line="240" w:lineRule="auto"/>
            </w:pPr>
            <w:r>
              <w:rPr>
                <w:rFonts w:ascii="Calibri" w:hAnsi="Calibri"/>
                <w:sz w:val="18"/>
              </w:rPr>
              <w:t>LLM explanation was unavailable or bypassed; a constrained template rendered</w:t>
            </w:r>
          </w:p>
        </w:tc>
        <w:tc>
          <w:tcPr>
            <w:tcW w:type="dxa" w:w="3463"/>
            <w:tcMar>
              <w:top w:w="80" w:type="dxa"/>
              <w:start w:w="120" w:type="dxa"/>
              <w:bottom w:w="80" w:type="dxa"/>
              <w:end w:w="120" w:type="dxa"/>
            </w:tcMar>
            <w:vAlign w:val="center"/>
          </w:tcPr>
          <w:p>
            <w:pPr>
              <w:spacing w:after="0" w:line="240" w:lineRule="auto"/>
            </w:pPr>
            <w:r>
              <w:rPr>
                <w:rFonts w:ascii="Calibri" w:hAnsi="Calibri"/>
                <w:sz w:val="18"/>
              </w:rPr>
              <w:t>Less flexible prose, but not the root cause of the one-result bug</w:t>
            </w:r>
          </w:p>
        </w:tc>
      </w:tr>
    </w:tbl>
    <w:p>
      <w:pPr>
        <w:spacing w:after="0"/>
      </w:pPr>
    </w:p>
    <w:p>
      <w:pPr>
        <w:pStyle w:val="Heading2"/>
        <w:keepNext/>
        <w:pageBreakBefore w:val="0"/>
        <w:spacing w:before="240" w:after="120"/>
        <w:ind w:left="0" w:firstLine="0"/>
        <w:jc w:val="left"/>
      </w:pPr>
      <w:r>
        <w:t>18.2 Root-cause classification</w:t>
      </w:r>
    </w:p>
    <w:tbl>
      <w:tblPr>
        <w:tblW w:type="dxa" w:w="9360"/>
        <w:jc w:val="center"/>
        <w:tblLayout w:type="fixed"/>
        <w:tblLook w:firstColumn="1" w:firstRow="1" w:lastColumn="0" w:lastRow="0" w:noHBand="0" w:noVBand="1" w:val="04A0"/>
      </w:tblPr>
      <w:tblGrid>
        <w:gridCol w:w="1030"/>
        <w:gridCol w:w="1030"/>
        <w:gridCol w:w="3557"/>
        <w:gridCol w:w="3744"/>
      </w:tblGrid>
      <w:tr>
        <w:trPr>
          <w:tblHeader w:val="true"/>
          <w:cantSplit/>
        </w:trPr>
        <w:tc>
          <w:tcPr>
            <w:tcW w:type="dxa" w:w="1030"/>
            <w:tcMar>
              <w:top w:w="80" w:type="dxa"/>
              <w:start w:w="120" w:type="dxa"/>
              <w:bottom w:w="80" w:type="dxa"/>
              <w:end w:w="120" w:type="dxa"/>
            </w:tcMar>
            <w:vAlign w:val="center"/>
            <w:shd w:fill="F2F4F7"/>
          </w:tcPr>
          <w:p>
            <w:pPr>
              <w:spacing w:after="0" w:line="240" w:lineRule="auto"/>
            </w:pPr>
            <w:r>
              <w:rPr>
                <w:rFonts w:ascii="Calibri" w:hAnsi="Calibri"/>
                <w:b/>
                <w:color w:val="1F4D78"/>
                <w:sz w:val="18"/>
              </w:rPr>
              <w:t>ID</w:t>
            </w:r>
          </w:p>
        </w:tc>
        <w:tc>
          <w:tcPr>
            <w:tcW w:type="dxa" w:w="1030"/>
            <w:tcMar>
              <w:top w:w="80" w:type="dxa"/>
              <w:start w:w="120" w:type="dxa"/>
              <w:bottom w:w="80" w:type="dxa"/>
              <w:end w:w="120" w:type="dxa"/>
            </w:tcMar>
            <w:vAlign w:val="center"/>
            <w:shd w:fill="F2F4F7"/>
          </w:tcPr>
          <w:p>
            <w:pPr>
              <w:spacing w:after="0" w:line="240" w:lineRule="auto"/>
            </w:pPr>
            <w:r>
              <w:rPr>
                <w:rFonts w:ascii="Calibri" w:hAnsi="Calibri"/>
                <w:b/>
                <w:color w:val="1F4D78"/>
                <w:sz w:val="18"/>
              </w:rPr>
              <w:t>Priority</w:t>
            </w:r>
          </w:p>
        </w:tc>
        <w:tc>
          <w:tcPr>
            <w:tcW w:type="dxa" w:w="3557"/>
            <w:tcMar>
              <w:top w:w="80" w:type="dxa"/>
              <w:start w:w="120" w:type="dxa"/>
              <w:bottom w:w="80" w:type="dxa"/>
              <w:end w:w="120" w:type="dxa"/>
            </w:tcMar>
            <w:vAlign w:val="center"/>
            <w:shd w:fill="F2F4F7"/>
          </w:tcPr>
          <w:p>
            <w:pPr>
              <w:spacing w:after="0" w:line="240" w:lineRule="auto"/>
            </w:pPr>
            <w:r>
              <w:rPr>
                <w:rFonts w:ascii="Calibri" w:hAnsi="Calibri"/>
                <w:b/>
                <w:color w:val="1F4D78"/>
                <w:sz w:val="18"/>
              </w:rPr>
              <w:t>Root cause</w:t>
            </w:r>
          </w:p>
        </w:tc>
        <w:tc>
          <w:tcPr>
            <w:tcW w:type="dxa" w:w="3744"/>
            <w:tcMar>
              <w:top w:w="80" w:type="dxa"/>
              <w:start w:w="120" w:type="dxa"/>
              <w:bottom w:w="80" w:type="dxa"/>
              <w:end w:w="120" w:type="dxa"/>
            </w:tcMar>
            <w:vAlign w:val="center"/>
            <w:shd w:fill="F2F4F7"/>
          </w:tcPr>
          <w:p>
            <w:pPr>
              <w:spacing w:after="0" w:line="240" w:lineRule="auto"/>
            </w:pPr>
            <w:r>
              <w:rPr>
                <w:rFonts w:ascii="Calibri" w:hAnsi="Calibri"/>
                <w:b/>
                <w:color w:val="1F4D78"/>
                <w:sz w:val="18"/>
              </w:rPr>
              <w:t>Required correction</w:t>
            </w:r>
          </w:p>
        </w:tc>
      </w:tr>
      <w:tr>
        <w:trPr>
          <w:cantSplit/>
        </w:trPr>
        <w:tc>
          <w:tcPr>
            <w:tcW w:type="dxa" w:w="1030"/>
            <w:tcMar>
              <w:top w:w="80" w:type="dxa"/>
              <w:start w:w="120" w:type="dxa"/>
              <w:bottom w:w="80" w:type="dxa"/>
              <w:end w:w="120" w:type="dxa"/>
            </w:tcMar>
            <w:vAlign w:val="center"/>
          </w:tcPr>
          <w:p>
            <w:pPr>
              <w:spacing w:after="0" w:line="240" w:lineRule="auto"/>
            </w:pPr>
            <w:r>
              <w:rPr>
                <w:rFonts w:ascii="Calibri" w:hAnsi="Calibri"/>
                <w:sz w:val="18"/>
              </w:rPr>
              <w:t>RC-01</w:t>
            </w:r>
          </w:p>
        </w:tc>
        <w:tc>
          <w:tcPr>
            <w:tcW w:type="dxa" w:w="1030"/>
            <w:tcMar>
              <w:top w:w="80" w:type="dxa"/>
              <w:start w:w="120" w:type="dxa"/>
              <w:bottom w:w="80" w:type="dxa"/>
              <w:end w:w="120" w:type="dxa"/>
            </w:tcMar>
            <w:vAlign w:val="center"/>
          </w:tcPr>
          <w:p>
            <w:pPr>
              <w:spacing w:after="0" w:line="240" w:lineRule="auto"/>
            </w:pPr>
            <w:r>
              <w:rPr>
                <w:rFonts w:ascii="Calibri" w:hAnsi="Calibri"/>
                <w:sz w:val="18"/>
              </w:rPr>
              <w:t>P0</w:t>
            </w:r>
          </w:p>
        </w:tc>
        <w:tc>
          <w:tcPr>
            <w:tcW w:type="dxa" w:w="3557"/>
            <w:tcMar>
              <w:top w:w="80" w:type="dxa"/>
              <w:start w:w="120" w:type="dxa"/>
              <w:bottom w:w="80" w:type="dxa"/>
              <w:end w:w="120" w:type="dxa"/>
            </w:tcMar>
            <w:vAlign w:val="center"/>
          </w:tcPr>
          <w:p>
            <w:pPr>
              <w:spacing w:after="0" w:line="240" w:lineRule="auto"/>
            </w:pPr>
            <w:r>
              <w:rPr>
                <w:rFonts w:ascii="Calibri" w:hAnsi="Calibri"/>
                <w:sz w:val="18"/>
              </w:rPr>
              <w:t>Requested symbols can be silently dropped by a narrow static allow-list</w:t>
            </w:r>
          </w:p>
        </w:tc>
        <w:tc>
          <w:tcPr>
            <w:tcW w:type="dxa" w:w="3744"/>
            <w:tcMar>
              <w:top w:w="80" w:type="dxa"/>
              <w:start w:w="120" w:type="dxa"/>
              <w:bottom w:w="80" w:type="dxa"/>
              <w:end w:w="120" w:type="dxa"/>
            </w:tcMar>
            <w:vAlign w:val="center"/>
          </w:tcPr>
          <w:p>
            <w:pPr>
              <w:spacing w:after="0" w:line="240" w:lineRule="auto"/>
            </w:pPr>
            <w:r>
              <w:rPr>
                <w:rFonts w:ascii="Calibri" w:hAnsi="Calibri"/>
                <w:sz w:val="18"/>
              </w:rPr>
              <w:t>Preserve every requested asset and return a reason-coded unsupported/not-configured status</w:t>
            </w:r>
          </w:p>
        </w:tc>
      </w:tr>
      <w:tr>
        <w:trPr>
          <w:cantSplit/>
        </w:trPr>
        <w:tc>
          <w:tcPr>
            <w:tcW w:type="dxa" w:w="1030"/>
            <w:tcMar>
              <w:top w:w="80" w:type="dxa"/>
              <w:start w:w="120" w:type="dxa"/>
              <w:bottom w:w="80" w:type="dxa"/>
              <w:end w:w="120" w:type="dxa"/>
            </w:tcMar>
            <w:vAlign w:val="center"/>
          </w:tcPr>
          <w:p>
            <w:pPr>
              <w:spacing w:after="0" w:line="240" w:lineRule="auto"/>
            </w:pPr>
            <w:r>
              <w:rPr>
                <w:rFonts w:ascii="Calibri" w:hAnsi="Calibri"/>
                <w:sz w:val="18"/>
              </w:rPr>
              <w:t>RC-02</w:t>
            </w:r>
          </w:p>
        </w:tc>
        <w:tc>
          <w:tcPr>
            <w:tcW w:type="dxa" w:w="1030"/>
            <w:tcMar>
              <w:top w:w="80" w:type="dxa"/>
              <w:start w:w="120" w:type="dxa"/>
              <w:bottom w:w="80" w:type="dxa"/>
              <w:end w:w="120" w:type="dxa"/>
            </w:tcMar>
            <w:vAlign w:val="center"/>
          </w:tcPr>
          <w:p>
            <w:pPr>
              <w:spacing w:after="0" w:line="240" w:lineRule="auto"/>
            </w:pPr>
            <w:r>
              <w:rPr>
                <w:rFonts w:ascii="Calibri" w:hAnsi="Calibri"/>
                <w:sz w:val="18"/>
              </w:rPr>
              <w:t>P0</w:t>
            </w:r>
          </w:p>
        </w:tc>
        <w:tc>
          <w:tcPr>
            <w:tcW w:type="dxa" w:w="3557"/>
            <w:tcMar>
              <w:top w:w="80" w:type="dxa"/>
              <w:start w:w="120" w:type="dxa"/>
              <w:bottom w:w="80" w:type="dxa"/>
              <w:end w:w="120" w:type="dxa"/>
            </w:tcMar>
            <w:vAlign w:val="center"/>
          </w:tcPr>
          <w:p>
            <w:pPr>
              <w:spacing w:after="0" w:line="240" w:lineRule="auto"/>
            </w:pPr>
            <w:r>
              <w:rPr>
                <w:rFonts w:ascii="Calibri" w:hAnsi="Calibri"/>
                <w:sz w:val="18"/>
              </w:rPr>
              <w:t>Observed-session fallback is scalar and reads only symbols[0]</w:t>
            </w:r>
          </w:p>
        </w:tc>
        <w:tc>
          <w:tcPr>
            <w:tcW w:type="dxa" w:w="3744"/>
            <w:tcMar>
              <w:top w:w="80" w:type="dxa"/>
              <w:start w:w="120" w:type="dxa"/>
              <w:bottom w:w="80" w:type="dxa"/>
              <w:end w:w="120" w:type="dxa"/>
            </w:tcMar>
            <w:vAlign w:val="center"/>
          </w:tcPr>
          <w:p>
            <w:pPr>
              <w:spacing w:after="0" w:line="240" w:lineRule="auto"/>
            </w:pPr>
            <w:r>
              <w:rPr>
                <w:rFonts w:ascii="Calibri" w:hAnsi="Calibri"/>
                <w:sz w:val="18"/>
              </w:rPr>
              <w:t>Fan out by requested asset with bounded concurrency and per-asset failures</w:t>
            </w:r>
          </w:p>
        </w:tc>
      </w:tr>
      <w:tr>
        <w:trPr>
          <w:cantSplit/>
        </w:trPr>
        <w:tc>
          <w:tcPr>
            <w:tcW w:type="dxa" w:w="1030"/>
            <w:tcMar>
              <w:top w:w="80" w:type="dxa"/>
              <w:start w:w="120" w:type="dxa"/>
              <w:bottom w:w="80" w:type="dxa"/>
              <w:end w:w="120" w:type="dxa"/>
            </w:tcMar>
            <w:vAlign w:val="center"/>
          </w:tcPr>
          <w:p>
            <w:pPr>
              <w:spacing w:after="0" w:line="240" w:lineRule="auto"/>
            </w:pPr>
            <w:r>
              <w:rPr>
                <w:rFonts w:ascii="Calibri" w:hAnsi="Calibri"/>
                <w:sz w:val="18"/>
              </w:rPr>
              <w:t>RC-03</w:t>
            </w:r>
          </w:p>
        </w:tc>
        <w:tc>
          <w:tcPr>
            <w:tcW w:type="dxa" w:w="1030"/>
            <w:tcMar>
              <w:top w:w="80" w:type="dxa"/>
              <w:start w:w="120" w:type="dxa"/>
              <w:bottom w:w="80" w:type="dxa"/>
              <w:end w:w="120" w:type="dxa"/>
            </w:tcMar>
            <w:vAlign w:val="center"/>
          </w:tcPr>
          <w:p>
            <w:pPr>
              <w:spacing w:after="0" w:line="240" w:lineRule="auto"/>
            </w:pPr>
            <w:r>
              <w:rPr>
                <w:rFonts w:ascii="Calibri" w:hAnsi="Calibri"/>
                <w:sz w:val="18"/>
              </w:rPr>
              <w:t>P0</w:t>
            </w:r>
          </w:p>
        </w:tc>
        <w:tc>
          <w:tcPr>
            <w:tcW w:type="dxa" w:w="3557"/>
            <w:tcMar>
              <w:top w:w="80" w:type="dxa"/>
              <w:start w:w="120" w:type="dxa"/>
              <w:bottom w:w="80" w:type="dxa"/>
              <w:end w:w="120" w:type="dxa"/>
            </w:tcMar>
            <w:vAlign w:val="center"/>
          </w:tcPr>
          <w:p>
            <w:pPr>
              <w:spacing w:after="0" w:line="240" w:lineRule="auto"/>
            </w:pPr>
            <w:r>
              <w:rPr>
                <w:rFonts w:ascii="Calibri" w:hAnsi="Calibri"/>
                <w:sz w:val="18"/>
              </w:rPr>
              <w:t>SPX/SPY proxy text is not symbol-aware</w:t>
            </w:r>
          </w:p>
        </w:tc>
        <w:tc>
          <w:tcPr>
            <w:tcW w:type="dxa" w:w="3744"/>
            <w:tcMar>
              <w:top w:w="80" w:type="dxa"/>
              <w:start w:w="120" w:type="dxa"/>
              <w:bottom w:w="80" w:type="dxa"/>
              <w:end w:w="120" w:type="dxa"/>
            </w:tcMar>
            <w:vAlign w:val="center"/>
          </w:tcPr>
          <w:p>
            <w:pPr>
              <w:spacing w:after="0" w:line="240" w:lineRule="auto"/>
            </w:pPr>
            <w:r>
              <w:rPr>
                <w:rFonts w:ascii="Calibri" w:hAnsi="Calibri"/>
                <w:sz w:val="18"/>
              </w:rPr>
              <w:t>Generate copy exclusively from structured public_symbol, data_symbol, and proxy_disclosure fields</w:t>
            </w:r>
          </w:p>
        </w:tc>
      </w:tr>
      <w:tr>
        <w:trPr>
          <w:cantSplit/>
        </w:trPr>
        <w:tc>
          <w:tcPr>
            <w:tcW w:type="dxa" w:w="1030"/>
            <w:tcMar>
              <w:top w:w="80" w:type="dxa"/>
              <w:start w:w="120" w:type="dxa"/>
              <w:bottom w:w="80" w:type="dxa"/>
              <w:end w:w="120" w:type="dxa"/>
            </w:tcMar>
            <w:vAlign w:val="center"/>
          </w:tcPr>
          <w:p>
            <w:pPr>
              <w:spacing w:after="0" w:line="240" w:lineRule="auto"/>
            </w:pPr>
            <w:r>
              <w:rPr>
                <w:rFonts w:ascii="Calibri" w:hAnsi="Calibri"/>
                <w:sz w:val="18"/>
              </w:rPr>
              <w:t>RC-04</w:t>
            </w:r>
          </w:p>
        </w:tc>
        <w:tc>
          <w:tcPr>
            <w:tcW w:type="dxa" w:w="1030"/>
            <w:tcMar>
              <w:top w:w="80" w:type="dxa"/>
              <w:start w:w="120" w:type="dxa"/>
              <w:bottom w:w="80" w:type="dxa"/>
              <w:end w:w="120" w:type="dxa"/>
            </w:tcMar>
            <w:vAlign w:val="center"/>
          </w:tcPr>
          <w:p>
            <w:pPr>
              <w:spacing w:after="0" w:line="240" w:lineRule="auto"/>
            </w:pPr>
            <w:r>
              <w:rPr>
                <w:rFonts w:ascii="Calibri" w:hAnsi="Calibri"/>
                <w:sz w:val="18"/>
              </w:rPr>
              <w:t>P0</w:t>
            </w:r>
          </w:p>
        </w:tc>
        <w:tc>
          <w:tcPr>
            <w:tcW w:type="dxa" w:w="3557"/>
            <w:tcMar>
              <w:top w:w="80" w:type="dxa"/>
              <w:start w:w="120" w:type="dxa"/>
              <w:bottom w:w="80" w:type="dxa"/>
              <w:end w:w="120" w:type="dxa"/>
            </w:tcMar>
            <w:vAlign w:val="center"/>
          </w:tcPr>
          <w:p>
            <w:pPr>
              <w:spacing w:after="0" w:line="240" w:lineRule="auto"/>
            </w:pPr>
            <w:r>
              <w:rPr>
                <w:rFonts w:ascii="Calibri" w:hAnsi="Calibri"/>
                <w:sz w:val="18"/>
              </w:rPr>
              <w:t>System health, model readiness, and observation availability are visually conflated</w:t>
            </w:r>
          </w:p>
        </w:tc>
        <w:tc>
          <w:tcPr>
            <w:tcW w:type="dxa" w:w="3744"/>
            <w:tcMar>
              <w:top w:w="80" w:type="dxa"/>
              <w:start w:w="120" w:type="dxa"/>
              <w:bottom w:w="80" w:type="dxa"/>
              <w:end w:w="120" w:type="dxa"/>
            </w:tcMar>
            <w:vAlign w:val="center"/>
          </w:tcPr>
          <w:p>
            <w:pPr>
              <w:spacing w:after="0" w:line="240" w:lineRule="auto"/>
            </w:pPr>
            <w:r>
              <w:rPr>
                <w:rFonts w:ascii="Calibri" w:hAnsi="Calibri"/>
                <w:sz w:val="18"/>
              </w:rPr>
              <w:t>Render separate feed, model, publication, and per-asset result states</w:t>
            </w:r>
          </w:p>
        </w:tc>
      </w:tr>
      <w:tr>
        <w:trPr>
          <w:cantSplit/>
        </w:trPr>
        <w:tc>
          <w:tcPr>
            <w:tcW w:type="dxa" w:w="1030"/>
            <w:tcMar>
              <w:top w:w="80" w:type="dxa"/>
              <w:start w:w="120" w:type="dxa"/>
              <w:bottom w:w="80" w:type="dxa"/>
              <w:end w:w="120" w:type="dxa"/>
            </w:tcMar>
            <w:vAlign w:val="center"/>
          </w:tcPr>
          <w:p>
            <w:pPr>
              <w:spacing w:after="0" w:line="240" w:lineRule="auto"/>
            </w:pPr>
            <w:r>
              <w:rPr>
                <w:rFonts w:ascii="Calibri" w:hAnsi="Calibri"/>
                <w:sz w:val="18"/>
              </w:rPr>
              <w:t>RC-05</w:t>
            </w:r>
          </w:p>
        </w:tc>
        <w:tc>
          <w:tcPr>
            <w:tcW w:type="dxa" w:w="1030"/>
            <w:tcMar>
              <w:top w:w="80" w:type="dxa"/>
              <w:start w:w="120" w:type="dxa"/>
              <w:bottom w:w="80" w:type="dxa"/>
              <w:end w:w="120" w:type="dxa"/>
            </w:tcMar>
            <w:vAlign w:val="center"/>
          </w:tcPr>
          <w:p>
            <w:pPr>
              <w:spacing w:after="0" w:line="240" w:lineRule="auto"/>
            </w:pPr>
            <w:r>
              <w:rPr>
                <w:rFonts w:ascii="Calibri" w:hAnsi="Calibri"/>
                <w:sz w:val="18"/>
              </w:rPr>
              <w:t>P1</w:t>
            </w:r>
          </w:p>
        </w:tc>
        <w:tc>
          <w:tcPr>
            <w:tcW w:type="dxa" w:w="3557"/>
            <w:tcMar>
              <w:top w:w="80" w:type="dxa"/>
              <w:start w:w="120" w:type="dxa"/>
              <w:bottom w:w="80" w:type="dxa"/>
              <w:end w:w="120" w:type="dxa"/>
            </w:tcMar>
            <w:vAlign w:val="center"/>
          </w:tcPr>
          <w:p>
            <w:pPr>
              <w:spacing w:after="0" w:line="240" w:lineRule="auto"/>
            </w:pPr>
            <w:r>
              <w:rPr>
                <w:rFonts w:ascii="Calibri" w:hAnsi="Calibri"/>
                <w:sz w:val="18"/>
              </w:rPr>
              <w:t>A bare ticker list has no explicit intent or horizon</w:t>
            </w:r>
          </w:p>
        </w:tc>
        <w:tc>
          <w:tcPr>
            <w:tcW w:type="dxa" w:w="3744"/>
            <w:tcMar>
              <w:top w:w="80" w:type="dxa"/>
              <w:start w:w="120" w:type="dxa"/>
              <w:bottom w:w="80" w:type="dxa"/>
              <w:end w:w="120" w:type="dxa"/>
            </w:tcMar>
            <w:vAlign w:val="center"/>
          </w:tcPr>
          <w:p>
            <w:pPr>
              <w:spacing w:after="0" w:line="240" w:lineRule="auto"/>
            </w:pPr>
            <w:r>
              <w:rPr>
                <w:rFonts w:ascii="Calibri" w:hAnsi="Calibri"/>
                <w:sz w:val="18"/>
              </w:rPr>
              <w:t>Default to a multi-asset snapshot and expose the assumption; forecast requests use registered horizons</w:t>
            </w:r>
          </w:p>
        </w:tc>
      </w:tr>
    </w:tbl>
    <w:p>
      <w:pPr>
        <w:spacing w:after="0"/>
      </w:pPr>
    </w:p>
    <w:tbl>
      <w:tblPr>
        <w:tblW w:type="dxa" w:w="9360"/>
        <w:jc w:val="center"/>
        <w:tblLayout w:type="fixed"/>
        <w:tblLook w:firstColumn="1" w:firstRow="1" w:lastColumn="0" w:lastRow="0" w:noHBand="0" w:noVBand="1" w:val="04A0"/>
      </w:tblPr>
      <w:tblGrid>
        <w:gridCol w:w="9360"/>
      </w:tblGrid>
      <w:tr>
        <w:trPr>
          <w:cantSplit/>
        </w:trPr>
        <w:tc>
          <w:tcPr>
            <w:tcW w:type="dxa" w:w="9360"/>
            <w:shd w:fill="EAF2F8"/>
            <w:tcMar>
              <w:top w:w="80" w:type="dxa"/>
              <w:start w:w="120" w:type="dxa"/>
              <w:bottom w:w="80" w:type="dxa"/>
              <w:end w:w="120" w:type="dxa"/>
            </w:tcMar>
            <w:vAlign w:val="center"/>
          </w:tcPr>
          <w:p>
            <w:r>
              <w:rPr>
                <w:b/>
                <w:color w:val="1F4D78"/>
              </w:rPr>
              <w:t xml:space="preserve">Decision: </w:t>
            </w:r>
            <w:r>
              <w:t>Treat this as a P0 contract bug. Do not loosen statistical publication gates to hide it. Product usefulness improves first by returning a truthful status for every requested asset; forecast accuracy improves later through data, models, and validation.</w:t>
            </w:r>
          </w:p>
        </w:tc>
      </w:tr>
    </w:tbl>
    <w:p>
      <w:pPr>
        <w:spacing w:after="0"/>
      </w:pPr>
    </w:p>
    <w:p>
      <w:pPr>
        <w:pStyle w:val="Heading2"/>
        <w:keepNext/>
        <w:pageBreakBefore w:val="0"/>
        <w:spacing w:before="240" w:after="120"/>
        <w:ind w:left="0" w:firstLine="0"/>
        <w:jc w:val="left"/>
      </w:pPr>
      <w:r>
        <w:t>18.3 Required result for the same input</w:t>
      </w:r>
    </w:p>
    <w:tbl>
      <w:tblPr>
        <w:tblW w:type="dxa" w:w="9360"/>
        <w:jc w:val="center"/>
        <w:tblLayout w:type="fixed"/>
        <w:tblLook w:firstColumn="1" w:firstRow="1" w:lastColumn="0" w:lastRow="0" w:noHBand="0" w:noVBand="1" w:val="04A0"/>
      </w:tblPr>
      <w:tblGrid>
        <w:gridCol w:w="1498"/>
        <w:gridCol w:w="2808"/>
        <w:gridCol w:w="5054"/>
      </w:tblGrid>
      <w:tr>
        <w:trPr>
          <w:tblHeader w:val="true"/>
          <w:cantSplit/>
        </w:trPr>
        <w:tc>
          <w:tcPr>
            <w:tcW w:type="dxa" w:w="1498"/>
            <w:tcMar>
              <w:top w:w="80" w:type="dxa"/>
              <w:start w:w="120" w:type="dxa"/>
              <w:bottom w:w="80" w:type="dxa"/>
              <w:end w:w="120" w:type="dxa"/>
            </w:tcMar>
            <w:vAlign w:val="center"/>
            <w:shd w:fill="F2F4F7"/>
          </w:tcPr>
          <w:p>
            <w:pPr>
              <w:spacing w:after="0" w:line="240" w:lineRule="auto"/>
            </w:pPr>
            <w:r>
              <w:rPr>
                <w:rFonts w:ascii="Calibri" w:hAnsi="Calibri"/>
                <w:b/>
                <w:color w:val="1F4D78"/>
                <w:sz w:val="18"/>
              </w:rPr>
              <w:t>Requested</w:t>
            </w:r>
          </w:p>
        </w:tc>
        <w:tc>
          <w:tcPr>
            <w:tcW w:type="dxa" w:w="2808"/>
            <w:tcMar>
              <w:top w:w="80" w:type="dxa"/>
              <w:start w:w="120" w:type="dxa"/>
              <w:bottom w:w="80" w:type="dxa"/>
              <w:end w:w="120" w:type="dxa"/>
            </w:tcMar>
            <w:vAlign w:val="center"/>
            <w:shd w:fill="F2F4F7"/>
          </w:tcPr>
          <w:p>
            <w:pPr>
              <w:spacing w:after="0" w:line="240" w:lineRule="auto"/>
            </w:pPr>
            <w:r>
              <w:rPr>
                <w:rFonts w:ascii="Calibri" w:hAnsi="Calibri"/>
                <w:b/>
                <w:color w:val="1F4D78"/>
                <w:sz w:val="18"/>
              </w:rPr>
              <w:t>Canonical identity</w:t>
            </w:r>
          </w:p>
        </w:tc>
        <w:tc>
          <w:tcPr>
            <w:tcW w:type="dxa" w:w="5054"/>
            <w:tcMar>
              <w:top w:w="80" w:type="dxa"/>
              <w:start w:w="120" w:type="dxa"/>
              <w:bottom w:w="80" w:type="dxa"/>
              <w:end w:w="120" w:type="dxa"/>
            </w:tcMar>
            <w:vAlign w:val="center"/>
            <w:shd w:fill="F2F4F7"/>
          </w:tcPr>
          <w:p>
            <w:pPr>
              <w:spacing w:after="0" w:line="240" w:lineRule="auto"/>
            </w:pPr>
            <w:r>
              <w:rPr>
                <w:rFonts w:ascii="Calibri" w:hAnsi="Calibri"/>
                <w:b/>
                <w:color w:val="1F4D78"/>
                <w:sz w:val="18"/>
              </w:rPr>
              <w:t>Required behavior</w:t>
            </w:r>
          </w:p>
        </w:tc>
      </w:tr>
      <w:tr>
        <w:trPr>
          <w:cantSplit/>
        </w:trPr>
        <w:tc>
          <w:tcPr>
            <w:tcW w:type="dxa" w:w="1498"/>
            <w:tcMar>
              <w:top w:w="80" w:type="dxa"/>
              <w:start w:w="120" w:type="dxa"/>
              <w:bottom w:w="80" w:type="dxa"/>
              <w:end w:w="120" w:type="dxa"/>
            </w:tcMar>
            <w:vAlign w:val="center"/>
          </w:tcPr>
          <w:p>
            <w:pPr>
              <w:spacing w:after="0" w:line="240" w:lineRule="auto"/>
            </w:pPr>
            <w:r>
              <w:rPr>
                <w:rFonts w:ascii="Calibri" w:hAnsi="Calibri"/>
                <w:sz w:val="18"/>
              </w:rPr>
              <w:t>GOOG</w:t>
            </w:r>
          </w:p>
        </w:tc>
        <w:tc>
          <w:tcPr>
            <w:tcW w:type="dxa" w:w="2808"/>
            <w:tcMar>
              <w:top w:w="80" w:type="dxa"/>
              <w:start w:w="120" w:type="dxa"/>
              <w:bottom w:w="80" w:type="dxa"/>
              <w:end w:w="120" w:type="dxa"/>
            </w:tcMar>
            <w:vAlign w:val="center"/>
          </w:tcPr>
          <w:p>
            <w:pPr>
              <w:spacing w:after="0" w:line="240" w:lineRule="auto"/>
            </w:pPr>
            <w:r>
              <w:rPr>
                <w:rFonts w:ascii="Calibri" w:hAnsi="Calibri"/>
                <w:sz w:val="18"/>
              </w:rPr>
              <w:t>Alphabet Class C (GOOG)</w:t>
            </w:r>
          </w:p>
        </w:tc>
        <w:tc>
          <w:tcPr>
            <w:tcW w:type="dxa" w:w="5054"/>
            <w:tcMar>
              <w:top w:w="80" w:type="dxa"/>
              <w:start w:w="120" w:type="dxa"/>
              <w:bottom w:w="80" w:type="dxa"/>
              <w:end w:w="120" w:type="dxa"/>
            </w:tcMar>
            <w:vAlign w:val="center"/>
          </w:tcPr>
          <w:p>
            <w:pPr>
              <w:spacing w:after="0" w:line="240" w:lineRule="auto"/>
            </w:pPr>
            <w:r>
              <w:rPr>
                <w:rFonts w:ascii="Calibri" w:hAnsi="Calibri"/>
                <w:sz w:val="18"/>
              </w:rPr>
              <w:t>Return its own result/status. Do not silently convert an explicit ticker to GOOGL.</w:t>
            </w:r>
          </w:p>
        </w:tc>
      </w:tr>
      <w:tr>
        <w:trPr>
          <w:cantSplit/>
        </w:trPr>
        <w:tc>
          <w:tcPr>
            <w:tcW w:type="dxa" w:w="1498"/>
            <w:tcMar>
              <w:top w:w="80" w:type="dxa"/>
              <w:start w:w="120" w:type="dxa"/>
              <w:bottom w:w="80" w:type="dxa"/>
              <w:end w:w="120" w:type="dxa"/>
            </w:tcMar>
            <w:vAlign w:val="center"/>
          </w:tcPr>
          <w:p>
            <w:pPr>
              <w:spacing w:after="0" w:line="240" w:lineRule="auto"/>
            </w:pPr>
            <w:r>
              <w:rPr>
                <w:rFonts w:ascii="Calibri" w:hAnsi="Calibri"/>
                <w:sz w:val="18"/>
              </w:rPr>
              <w:t>AMZN</w:t>
            </w:r>
          </w:p>
        </w:tc>
        <w:tc>
          <w:tcPr>
            <w:tcW w:type="dxa" w:w="2808"/>
            <w:tcMar>
              <w:top w:w="80" w:type="dxa"/>
              <w:start w:w="120" w:type="dxa"/>
              <w:bottom w:w="80" w:type="dxa"/>
              <w:end w:w="120" w:type="dxa"/>
            </w:tcMar>
            <w:vAlign w:val="center"/>
          </w:tcPr>
          <w:p>
            <w:pPr>
              <w:spacing w:after="0" w:line="240" w:lineRule="auto"/>
            </w:pPr>
            <w:r>
              <w:rPr>
                <w:rFonts w:ascii="Calibri" w:hAnsi="Calibri"/>
                <w:sz w:val="18"/>
              </w:rPr>
              <w:t>Amazon.com (AMZN)</w:t>
            </w:r>
          </w:p>
        </w:tc>
        <w:tc>
          <w:tcPr>
            <w:tcW w:type="dxa" w:w="5054"/>
            <w:tcMar>
              <w:top w:w="80" w:type="dxa"/>
              <w:start w:w="120" w:type="dxa"/>
              <w:bottom w:w="80" w:type="dxa"/>
              <w:end w:w="120" w:type="dxa"/>
            </w:tcMar>
            <w:vAlign w:val="center"/>
          </w:tcPr>
          <w:p>
            <w:pPr>
              <w:spacing w:after="0" w:line="240" w:lineRule="auto"/>
            </w:pPr>
            <w:r>
              <w:rPr>
                <w:rFonts w:ascii="Calibri" w:hAnsi="Calibri"/>
                <w:sz w:val="18"/>
              </w:rPr>
              <w:t>Return forecast, research-only, observed-only, withheld, or not-configured with reason.</w:t>
            </w:r>
          </w:p>
        </w:tc>
      </w:tr>
      <w:tr>
        <w:trPr>
          <w:cantSplit/>
        </w:trPr>
        <w:tc>
          <w:tcPr>
            <w:tcW w:type="dxa" w:w="1498"/>
            <w:tcMar>
              <w:top w:w="80" w:type="dxa"/>
              <w:start w:w="120" w:type="dxa"/>
              <w:bottom w:w="80" w:type="dxa"/>
              <w:end w:w="120" w:type="dxa"/>
            </w:tcMar>
            <w:vAlign w:val="center"/>
          </w:tcPr>
          <w:p>
            <w:pPr>
              <w:spacing w:after="0" w:line="240" w:lineRule="auto"/>
            </w:pPr>
            <w:r>
              <w:rPr>
                <w:rFonts w:ascii="Calibri" w:hAnsi="Calibri"/>
                <w:sz w:val="18"/>
              </w:rPr>
              <w:t>MU</w:t>
            </w:r>
          </w:p>
        </w:tc>
        <w:tc>
          <w:tcPr>
            <w:tcW w:type="dxa" w:w="2808"/>
            <w:tcMar>
              <w:top w:w="80" w:type="dxa"/>
              <w:start w:w="120" w:type="dxa"/>
              <w:bottom w:w="80" w:type="dxa"/>
              <w:end w:w="120" w:type="dxa"/>
            </w:tcMar>
            <w:vAlign w:val="center"/>
          </w:tcPr>
          <w:p>
            <w:pPr>
              <w:spacing w:after="0" w:line="240" w:lineRule="auto"/>
            </w:pPr>
            <w:r>
              <w:rPr>
                <w:rFonts w:ascii="Calibri" w:hAnsi="Calibri"/>
                <w:sz w:val="18"/>
              </w:rPr>
              <w:t>Micron Technology (MU)</w:t>
            </w:r>
          </w:p>
        </w:tc>
        <w:tc>
          <w:tcPr>
            <w:tcW w:type="dxa" w:w="5054"/>
            <w:tcMar>
              <w:top w:w="80" w:type="dxa"/>
              <w:start w:w="120" w:type="dxa"/>
              <w:bottom w:w="80" w:type="dxa"/>
              <w:end w:w="120" w:type="dxa"/>
            </w:tcMar>
            <w:vAlign w:val="center"/>
          </w:tcPr>
          <w:p>
            <w:pPr>
              <w:spacing w:after="0" w:line="240" w:lineRule="auto"/>
            </w:pPr>
            <w:r>
              <w:rPr>
                <w:rFonts w:ascii="Calibri" w:hAnsi="Calibri"/>
                <w:sz w:val="18"/>
              </w:rPr>
              <w:t>Return the eligible result/status without mislabeled SPX proxy language.</w:t>
            </w:r>
          </w:p>
        </w:tc>
      </w:tr>
      <w:tr>
        <w:trPr>
          <w:cantSplit/>
        </w:trPr>
        <w:tc>
          <w:tcPr>
            <w:tcW w:type="dxa" w:w="1498"/>
            <w:tcMar>
              <w:top w:w="80" w:type="dxa"/>
              <w:start w:w="120" w:type="dxa"/>
              <w:bottom w:w="80" w:type="dxa"/>
              <w:end w:w="120" w:type="dxa"/>
            </w:tcMar>
            <w:vAlign w:val="center"/>
          </w:tcPr>
          <w:p>
            <w:pPr>
              <w:spacing w:after="0" w:line="240" w:lineRule="auto"/>
            </w:pPr>
            <w:r>
              <w:rPr>
                <w:rFonts w:ascii="Calibri" w:hAnsi="Calibri"/>
                <w:sz w:val="18"/>
              </w:rPr>
              <w:t>SNDK</w:t>
            </w:r>
          </w:p>
        </w:tc>
        <w:tc>
          <w:tcPr>
            <w:tcW w:type="dxa" w:w="2808"/>
            <w:tcMar>
              <w:top w:w="80" w:type="dxa"/>
              <w:start w:w="120" w:type="dxa"/>
              <w:bottom w:w="80" w:type="dxa"/>
              <w:end w:w="120" w:type="dxa"/>
            </w:tcMar>
            <w:vAlign w:val="center"/>
          </w:tcPr>
          <w:p>
            <w:pPr>
              <w:spacing w:after="0" w:line="240" w:lineRule="auto"/>
            </w:pPr>
            <w:r>
              <w:rPr>
                <w:rFonts w:ascii="Calibri" w:hAnsi="Calibri"/>
                <w:sz w:val="18"/>
              </w:rPr>
              <w:t>Current standalone SanDisk (SNDK)</w:t>
            </w:r>
          </w:p>
        </w:tc>
        <w:tc>
          <w:tcPr>
            <w:tcW w:type="dxa" w:w="5054"/>
            <w:tcMar>
              <w:top w:w="80" w:type="dxa"/>
              <w:start w:w="120" w:type="dxa"/>
              <w:bottom w:w="80" w:type="dxa"/>
              <w:end w:w="120" w:type="dxa"/>
            </w:tcMar>
            <w:vAlign w:val="center"/>
          </w:tcPr>
          <w:p>
            <w:pPr>
              <w:spacing w:after="0" w:line="240" w:lineRule="auto"/>
            </w:pPr>
            <w:r>
              <w:rPr>
                <w:rFonts w:ascii="Calibri" w:hAnsi="Calibri"/>
                <w:sz w:val="18"/>
              </w:rPr>
              <w:t>Use the current listing history only; expose limited-history coverage and abstain when support is insufficient.</w:t>
            </w:r>
          </w:p>
        </w:tc>
      </w:tr>
    </w:tbl>
    <w:p>
      <w:pPr>
        <w:spacing w:after="0"/>
      </w:pPr>
    </w:p>
    <w:p>
      <w:pPr>
        <w:pStyle w:val="Heading1"/>
        <w:keepNext/>
        <w:pageBreakBefore w:val="0"/>
        <w:spacing w:before="320" w:after="160"/>
        <w:ind w:left="0" w:firstLine="0"/>
        <w:jc w:val="left"/>
      </w:pPr>
      <w:r>
        <w:t>19. Multi-Asset Conversation and Result Contract</w:t>
      </w:r>
    </w:p>
    <w:p>
      <w:pPr/>
      <w:r>
        <w:t>The API contract is one request to N independently auditable asset results. Unsupported, stale, unentitled, short-history, or unpromoted assets remain present in the response. No asset disappears, no unavailable asset inherits another asset's data, and no aggregate summary substitutes for the per-asset ledger.</w:t>
      </w:r>
    </w:p>
    <w:p>
      <w:pPr>
        <w:pStyle w:val="Heading2"/>
        <w:keepNext/>
        <w:pageBreakBefore w:val="0"/>
        <w:spacing w:before="240" w:after="120"/>
        <w:ind w:left="0" w:firstLine="0"/>
        <w:jc w:val="left"/>
      </w:pPr>
      <w:r>
        <w:t>19.1 Query normalization</w:t>
      </w:r>
    </w:p>
    <w:p>
      <w:pPr>
        <w:pStyle w:val="ListBullet"/>
        <w:spacing w:after="120"/>
        <w:ind w:left="720" w:hanging="360"/>
      </w:pPr>
      <w:r>
        <w:t>Preserve the ordered requested_assets array exactly as entered after whitespace/case normalization.</w:t>
      </w:r>
    </w:p>
    <w:p>
      <w:pPr>
        <w:pStyle w:val="ListBullet"/>
        <w:spacing w:after="120"/>
        <w:ind w:left="720" w:hanging="360"/>
      </w:pPr>
      <w:r>
        <w:t>Resolve company names through a versioned alias registry, but preserve explicit ticker and share-class identity.</w:t>
      </w:r>
    </w:p>
    <w:p>
      <w:pPr>
        <w:pStyle w:val="ListBullet"/>
        <w:spacing w:after="120"/>
        <w:ind w:left="720" w:hanging="360"/>
      </w:pPr>
      <w:r>
        <w:t>Attach instrument_id, listing venue, currency, effective-from/effective-to dates, sector taxonomy version, and corporate-action lineage.</w:t>
      </w:r>
    </w:p>
    <w:p>
      <w:pPr>
        <w:pStyle w:val="ListBullet"/>
        <w:spacing w:after="120"/>
        <w:ind w:left="720" w:hanging="360"/>
      </w:pPr>
      <w:r>
        <w:t>For a bare ticker list, run multi_asset_snapshot with all currently registered research horizons; display this default rather than inventing a directional question.</w:t>
      </w:r>
    </w:p>
    <w:p>
      <w:pPr>
        <w:pStyle w:val="ListBullet"/>
        <w:spacing w:after="120"/>
        <w:ind w:left="720" w:hanging="360"/>
      </w:pPr>
      <w:r>
        <w:t>For an explicit forecast/backtest/monitor request, compile only allow-listed typed parameters and return clarification for material missing assumptions.</w:t>
      </w:r>
    </w:p>
    <w:p>
      <w:pPr>
        <w:pStyle w:val="Heading2"/>
        <w:keepNext/>
        <w:pageBreakBefore w:val="0"/>
        <w:spacing w:before="240" w:after="120"/>
        <w:ind w:left="0" w:firstLine="0"/>
        <w:jc w:val="left"/>
      </w:pPr>
      <w:r>
        <w:t>19.2 Response schema</w:t>
      </w:r>
    </w:p>
    <w:tbl>
      <w:tblPr>
        <w:tblW w:type="dxa" w:w="9360"/>
        <w:jc w:val="center"/>
        <w:tblLayout w:type="fixed"/>
        <w:tblLook w:firstColumn="1" w:firstRow="1" w:lastColumn="0" w:lastRow="0" w:noHBand="0" w:noVBand="1" w:val="04A0"/>
      </w:tblPr>
      <w:tblGrid>
        <w:gridCol w:w="9360"/>
      </w:tblGrid>
      <w:tr>
        <w:trPr>
          <w:cantSplit/>
        </w:trPr>
        <w:tc>
          <w:tcPr>
            <w:tcW w:type="dxa" w:w="9360"/>
            <w:shd w:fill="F2F4F7"/>
            <w:tcMar>
              <w:top w:w="80" w:type="dxa"/>
              <w:start w:w="120" w:type="dxa"/>
              <w:bottom w:w="80" w:type="dxa"/>
              <w:end w:w="120" w:type="dxa"/>
            </w:tcMar>
            <w:vAlign w:val="center"/>
          </w:tcPr>
          <w:p>
            <w:pPr>
              <w:spacing w:after="0"/>
            </w:pPr>
            <w:r>
              <w:rPr>
                <w:rFonts w:ascii="Consolas" w:hAnsi="Consolas"/>
                <w:sz w:val="17"/>
              </w:rPr>
              <w:t>MultiAssetResearchResponse {</w:t>
              <w:br/>
            </w:r>
            <w:r>
              <w:rPr>
                <w:rFonts w:ascii="Consolas" w:hAnsi="Consolas"/>
                <w:sz w:val="17"/>
              </w:rPr>
              <w:t xml:space="preserve">  request_id, requested_assets[], normalized_assets[], observation_cutoff,</w:t>
              <w:br/>
            </w:r>
            <w:r>
              <w:rPr>
                <w:rFonts w:ascii="Consolas" w:hAnsi="Consolas"/>
                <w:sz w:val="17"/>
              </w:rPr>
              <w:t xml:space="preserve">  result_count, aggregate_context, source_receipts[],</w:t>
              <w:br/>
            </w:r>
            <w:r>
              <w:rPr>
                <w:rFonts w:ascii="Consolas" w:hAnsi="Consolas"/>
                <w:sz w:val="17"/>
              </w:rPr>
              <w:t xml:space="preserve">  results: AssetResult[]  // exactly one row per requested asset</w:t>
              <w:br/>
            </w:r>
            <w:r>
              <w:rPr>
                <w:rFonts w:ascii="Consolas" w:hAnsi="Consolas"/>
                <w:sz w:val="17"/>
              </w:rPr>
              <w:t>}</w:t>
              <w:br/>
            </w:r>
            <w:r>
              <w:rPr>
                <w:rFonts w:ascii="Consolas" w:hAnsi="Consolas"/>
                <w:sz w:val="17"/>
              </w:rPr>
              <w:t>AssetResult {</w:t>
              <w:br/>
            </w:r>
            <w:r>
              <w:rPr>
                <w:rFonts w:ascii="Consolas" w:hAnsi="Consolas"/>
                <w:sz w:val="17"/>
              </w:rPr>
              <w:t xml:space="preserve">  requested_symbol, canonical_symbol, instrument_id, status, horizon_results[],</w:t>
              <w:br/>
            </w:r>
            <w:r>
              <w:rPr>
                <w:rFonts w:ascii="Consolas" w:hAnsi="Consolas"/>
                <w:sz w:val="17"/>
              </w:rPr>
              <w:t xml:space="preserve">  source, cutoff, available_at, freshness, coverage, model_version, feature_version,</w:t>
              <w:br/>
            </w:r>
            <w:r>
              <w:rPr>
                <w:rFonts w:ascii="Consolas" w:hAnsi="Consolas"/>
                <w:sz w:val="17"/>
              </w:rPr>
              <w:t xml:space="preserve">  baseline, calibrated_distribution?, research_scores?, drivers[], contrary_evidence[],</w:t>
              <w:br/>
            </w:r>
            <w:r>
              <w:rPr>
                <w:rFonts w:ascii="Consolas" w:hAnsi="Consolas"/>
                <w:sz w:val="17"/>
              </w:rPr>
              <w:t xml:space="preserve">  blockers[], caveats[]</w:t>
              <w:br/>
            </w:r>
            <w:r>
              <w:rPr>
                <w:rFonts w:ascii="Consolas" w:hAnsi="Consolas"/>
                <w:sz w:val="17"/>
              </w:rPr>
              <w:t>}</w:t>
            </w:r>
          </w:p>
        </w:tc>
      </w:tr>
    </w:tbl>
    <w:p>
      <w:pPr>
        <w:spacing w:after="0"/>
      </w:pPr>
    </w:p>
    <w:tbl>
      <w:tblPr>
        <w:tblW w:type="dxa" w:w="9360"/>
        <w:jc w:val="center"/>
        <w:tblLayout w:type="fixed"/>
        <w:tblLook w:firstColumn="1" w:firstRow="1" w:lastColumn="0" w:lastRow="0" w:noHBand="0" w:noVBand="1" w:val="04A0"/>
      </w:tblPr>
      <w:tblGrid>
        <w:gridCol w:w="2621"/>
        <w:gridCol w:w="4025"/>
        <w:gridCol w:w="2714"/>
      </w:tblGrid>
      <w:tr>
        <w:trPr>
          <w:tblHeader w:val="true"/>
          <w:cantSplit/>
        </w:trPr>
        <w:tc>
          <w:tcPr>
            <w:tcW w:type="dxa" w:w="2621"/>
            <w:tcMar>
              <w:top w:w="80" w:type="dxa"/>
              <w:start w:w="120" w:type="dxa"/>
              <w:bottom w:w="80" w:type="dxa"/>
              <w:end w:w="120" w:type="dxa"/>
            </w:tcMar>
            <w:vAlign w:val="center"/>
            <w:shd w:fill="F2F4F7"/>
          </w:tcPr>
          <w:p>
            <w:pPr>
              <w:spacing w:after="0" w:line="240" w:lineRule="auto"/>
            </w:pPr>
            <w:r>
              <w:rPr>
                <w:rFonts w:ascii="Calibri" w:hAnsi="Calibri"/>
                <w:b/>
                <w:color w:val="1F4D78"/>
                <w:sz w:val="18"/>
              </w:rPr>
              <w:t>Status</w:t>
            </w:r>
          </w:p>
        </w:tc>
        <w:tc>
          <w:tcPr>
            <w:tcW w:type="dxa" w:w="4025"/>
            <w:tcMar>
              <w:top w:w="80" w:type="dxa"/>
              <w:start w:w="120" w:type="dxa"/>
              <w:bottom w:w="80" w:type="dxa"/>
              <w:end w:w="120" w:type="dxa"/>
            </w:tcMar>
            <w:vAlign w:val="center"/>
            <w:shd w:fill="F2F4F7"/>
          </w:tcPr>
          <w:p>
            <w:pPr>
              <w:spacing w:after="0" w:line="240" w:lineRule="auto"/>
            </w:pPr>
            <w:r>
              <w:rPr>
                <w:rFonts w:ascii="Calibri" w:hAnsi="Calibri"/>
                <w:b/>
                <w:color w:val="1F4D78"/>
                <w:sz w:val="18"/>
              </w:rPr>
              <w:t>Meaning</w:t>
            </w:r>
          </w:p>
        </w:tc>
        <w:tc>
          <w:tcPr>
            <w:tcW w:type="dxa" w:w="2714"/>
            <w:tcMar>
              <w:top w:w="80" w:type="dxa"/>
              <w:start w:w="120" w:type="dxa"/>
              <w:bottom w:w="80" w:type="dxa"/>
              <w:end w:w="120" w:type="dxa"/>
            </w:tcMar>
            <w:vAlign w:val="center"/>
            <w:shd w:fill="F2F4F7"/>
          </w:tcPr>
          <w:p>
            <w:pPr>
              <w:spacing w:after="0" w:line="240" w:lineRule="auto"/>
            </w:pPr>
            <w:r>
              <w:rPr>
                <w:rFonts w:ascii="Calibri" w:hAnsi="Calibri"/>
                <w:b/>
                <w:color w:val="1F4D78"/>
                <w:sz w:val="18"/>
              </w:rPr>
              <w:t>Customer surface</w:t>
            </w:r>
          </w:p>
        </w:tc>
      </w:tr>
      <w:tr>
        <w:trPr>
          <w:cantSplit/>
        </w:trPr>
        <w:tc>
          <w:tcPr>
            <w:tcW w:type="dxa" w:w="2621"/>
            <w:tcMar>
              <w:top w:w="80" w:type="dxa"/>
              <w:start w:w="120" w:type="dxa"/>
              <w:bottom w:w="80" w:type="dxa"/>
              <w:end w:w="120" w:type="dxa"/>
            </w:tcMar>
            <w:vAlign w:val="center"/>
          </w:tcPr>
          <w:p>
            <w:pPr>
              <w:spacing w:after="0" w:line="240" w:lineRule="auto"/>
            </w:pPr>
            <w:r>
              <w:rPr>
                <w:rFonts w:ascii="Calibri" w:hAnsi="Calibri"/>
                <w:sz w:val="18"/>
              </w:rPr>
              <w:t>FORECAST_VALID</w:t>
            </w:r>
          </w:p>
        </w:tc>
        <w:tc>
          <w:tcPr>
            <w:tcW w:type="dxa" w:w="4025"/>
            <w:tcMar>
              <w:top w:w="80" w:type="dxa"/>
              <w:start w:w="120" w:type="dxa"/>
              <w:bottom w:w="80" w:type="dxa"/>
              <w:end w:w="120" w:type="dxa"/>
            </w:tcMar>
            <w:vAlign w:val="center"/>
          </w:tcPr>
          <w:p>
            <w:pPr>
              <w:spacing w:after="0" w:line="240" w:lineRule="auto"/>
            </w:pPr>
            <w:r>
              <w:rPr>
                <w:rFonts w:ascii="Calibri" w:hAnsi="Calibri"/>
                <w:sz w:val="18"/>
              </w:rPr>
              <w:t>Promoted, calibrated, fresh, causal artifact passed all gates</w:t>
            </w:r>
          </w:p>
        </w:tc>
        <w:tc>
          <w:tcPr>
            <w:tcW w:type="dxa" w:w="2714"/>
            <w:tcMar>
              <w:top w:w="80" w:type="dxa"/>
              <w:start w:w="120" w:type="dxa"/>
              <w:bottom w:w="80" w:type="dxa"/>
              <w:end w:w="120" w:type="dxa"/>
            </w:tcMar>
            <w:vAlign w:val="center"/>
          </w:tcPr>
          <w:p>
            <w:pPr>
              <w:spacing w:after="0" w:line="240" w:lineRule="auto"/>
            </w:pPr>
            <w:r>
              <w:rPr>
                <w:rFonts w:ascii="Calibri" w:hAnsi="Calibri"/>
                <w:sz w:val="18"/>
              </w:rPr>
              <w:t>Distribution, horizon, calibration and evidence</w:t>
            </w:r>
          </w:p>
        </w:tc>
      </w:tr>
      <w:tr>
        <w:trPr>
          <w:cantSplit/>
        </w:trPr>
        <w:tc>
          <w:tcPr>
            <w:tcW w:type="dxa" w:w="2621"/>
            <w:tcMar>
              <w:top w:w="80" w:type="dxa"/>
              <w:start w:w="120" w:type="dxa"/>
              <w:bottom w:w="80" w:type="dxa"/>
              <w:end w:w="120" w:type="dxa"/>
            </w:tcMar>
            <w:vAlign w:val="center"/>
          </w:tcPr>
          <w:p>
            <w:pPr>
              <w:spacing w:after="0" w:line="240" w:lineRule="auto"/>
            </w:pPr>
            <w:r>
              <w:rPr>
                <w:rFonts w:ascii="Calibri" w:hAnsi="Calibri"/>
                <w:sz w:val="18"/>
              </w:rPr>
              <w:t>RESEARCH_READY_UNCALIBRATED</w:t>
            </w:r>
          </w:p>
        </w:tc>
        <w:tc>
          <w:tcPr>
            <w:tcW w:type="dxa" w:w="4025"/>
            <w:tcMar>
              <w:top w:w="80" w:type="dxa"/>
              <w:start w:w="120" w:type="dxa"/>
              <w:bottom w:w="80" w:type="dxa"/>
              <w:end w:w="120" w:type="dxa"/>
            </w:tcMar>
            <w:vAlign w:val="center"/>
          </w:tcPr>
          <w:p>
            <w:pPr>
              <w:spacing w:after="0" w:line="240" w:lineRule="auto"/>
            </w:pPr>
            <w:r>
              <w:rPr>
                <w:rFonts w:ascii="Calibri" w:hAnsi="Calibri"/>
                <w:sz w:val="18"/>
              </w:rPr>
              <w:t>Causal research output exists but is not a publishable probability</w:t>
            </w:r>
          </w:p>
        </w:tc>
        <w:tc>
          <w:tcPr>
            <w:tcW w:type="dxa" w:w="2714"/>
            <w:tcMar>
              <w:top w:w="80" w:type="dxa"/>
              <w:start w:w="120" w:type="dxa"/>
              <w:bottom w:w="80" w:type="dxa"/>
              <w:end w:w="120" w:type="dxa"/>
            </w:tcMar>
            <w:vAlign w:val="center"/>
          </w:tcPr>
          <w:p>
            <w:pPr>
              <w:spacing w:after="0" w:line="240" w:lineRule="auto"/>
            </w:pPr>
            <w:r>
              <w:rPr>
                <w:rFonts w:ascii="Calibri" w:hAnsi="Calibri"/>
                <w:sz w:val="18"/>
              </w:rPr>
              <w:t>Rank/score/raw statistic with explicit label; no probability</w:t>
            </w:r>
          </w:p>
        </w:tc>
      </w:tr>
      <w:tr>
        <w:trPr>
          <w:cantSplit/>
        </w:trPr>
        <w:tc>
          <w:tcPr>
            <w:tcW w:type="dxa" w:w="2621"/>
            <w:tcMar>
              <w:top w:w="80" w:type="dxa"/>
              <w:start w:w="120" w:type="dxa"/>
              <w:bottom w:w="80" w:type="dxa"/>
              <w:end w:w="120" w:type="dxa"/>
            </w:tcMar>
            <w:vAlign w:val="center"/>
          </w:tcPr>
          <w:p>
            <w:pPr>
              <w:spacing w:after="0" w:line="240" w:lineRule="auto"/>
            </w:pPr>
            <w:r>
              <w:rPr>
                <w:rFonts w:ascii="Calibri" w:hAnsi="Calibri"/>
                <w:sz w:val="18"/>
              </w:rPr>
              <w:t>OBSERVED_ONLY</w:t>
            </w:r>
          </w:p>
        </w:tc>
        <w:tc>
          <w:tcPr>
            <w:tcW w:type="dxa" w:w="4025"/>
            <w:tcMar>
              <w:top w:w="80" w:type="dxa"/>
              <w:start w:w="120" w:type="dxa"/>
              <w:bottom w:w="80" w:type="dxa"/>
              <w:end w:w="120" w:type="dxa"/>
            </w:tcMar>
            <w:vAlign w:val="center"/>
          </w:tcPr>
          <w:p>
            <w:pPr>
              <w:spacing w:after="0" w:line="240" w:lineRule="auto"/>
            </w:pPr>
            <w:r>
              <w:rPr>
                <w:rFonts w:ascii="Calibri" w:hAnsi="Calibri"/>
                <w:sz w:val="18"/>
              </w:rPr>
              <w:t>Verified market observation exists without a live forecast</w:t>
            </w:r>
          </w:p>
        </w:tc>
        <w:tc>
          <w:tcPr>
            <w:tcW w:type="dxa" w:w="2714"/>
            <w:tcMar>
              <w:top w:w="80" w:type="dxa"/>
              <w:start w:w="120" w:type="dxa"/>
              <w:bottom w:w="80" w:type="dxa"/>
              <w:end w:w="120" w:type="dxa"/>
            </w:tcMar>
            <w:vAlign w:val="center"/>
          </w:tcPr>
          <w:p>
            <w:pPr>
              <w:spacing w:after="0" w:line="240" w:lineRule="auto"/>
            </w:pPr>
            <w:r>
              <w:rPr>
                <w:rFonts w:ascii="Calibri" w:hAnsi="Calibri"/>
                <w:sz w:val="18"/>
              </w:rPr>
              <w:t>Price/session facts and lineage only</w:t>
            </w:r>
          </w:p>
        </w:tc>
      </w:tr>
      <w:tr>
        <w:trPr>
          <w:cantSplit/>
        </w:trPr>
        <w:tc>
          <w:tcPr>
            <w:tcW w:type="dxa" w:w="2621"/>
            <w:tcMar>
              <w:top w:w="80" w:type="dxa"/>
              <w:start w:w="120" w:type="dxa"/>
              <w:bottom w:w="80" w:type="dxa"/>
              <w:end w:w="120" w:type="dxa"/>
            </w:tcMar>
            <w:vAlign w:val="center"/>
          </w:tcPr>
          <w:p>
            <w:pPr>
              <w:spacing w:after="0" w:line="240" w:lineRule="auto"/>
            </w:pPr>
            <w:r>
              <w:rPr>
                <w:rFonts w:ascii="Calibri" w:hAnsi="Calibri"/>
                <w:sz w:val="18"/>
              </w:rPr>
              <w:t>WITHHELD</w:t>
            </w:r>
          </w:p>
        </w:tc>
        <w:tc>
          <w:tcPr>
            <w:tcW w:type="dxa" w:w="4025"/>
            <w:tcMar>
              <w:top w:w="80" w:type="dxa"/>
              <w:start w:w="120" w:type="dxa"/>
              <w:bottom w:w="80" w:type="dxa"/>
              <w:end w:w="120" w:type="dxa"/>
            </w:tcMar>
            <w:vAlign w:val="center"/>
          </w:tcPr>
          <w:p>
            <w:pPr>
              <w:spacing w:after="0" w:line="240" w:lineRule="auto"/>
            </w:pPr>
            <w:r>
              <w:rPr>
                <w:rFonts w:ascii="Calibri" w:hAnsi="Calibri"/>
                <w:sz w:val="18"/>
              </w:rPr>
              <w:t>Configured model was blocked by data, artifact, calibration, OOD, or latency gate</w:t>
            </w:r>
          </w:p>
        </w:tc>
        <w:tc>
          <w:tcPr>
            <w:tcW w:type="dxa" w:w="2714"/>
            <w:tcMar>
              <w:top w:w="80" w:type="dxa"/>
              <w:start w:w="120" w:type="dxa"/>
              <w:bottom w:w="80" w:type="dxa"/>
              <w:end w:w="120" w:type="dxa"/>
            </w:tcMar>
            <w:vAlign w:val="center"/>
          </w:tcPr>
          <w:p>
            <w:pPr>
              <w:spacing w:after="0" w:line="240" w:lineRule="auto"/>
            </w:pPr>
            <w:r>
              <w:rPr>
                <w:rFonts w:ascii="Calibri" w:hAnsi="Calibri"/>
                <w:sz w:val="18"/>
              </w:rPr>
              <w:t>Reason codes and recovery condition</w:t>
            </w:r>
          </w:p>
        </w:tc>
      </w:tr>
      <w:tr>
        <w:trPr>
          <w:cantSplit/>
        </w:trPr>
        <w:tc>
          <w:tcPr>
            <w:tcW w:type="dxa" w:w="2621"/>
            <w:tcMar>
              <w:top w:w="80" w:type="dxa"/>
              <w:start w:w="120" w:type="dxa"/>
              <w:bottom w:w="80" w:type="dxa"/>
              <w:end w:w="120" w:type="dxa"/>
            </w:tcMar>
            <w:vAlign w:val="center"/>
          </w:tcPr>
          <w:p>
            <w:pPr>
              <w:spacing w:after="0" w:line="240" w:lineRule="auto"/>
            </w:pPr>
            <w:r>
              <w:rPr>
                <w:rFonts w:ascii="Calibri" w:hAnsi="Calibri"/>
                <w:sz w:val="18"/>
              </w:rPr>
              <w:t>INSUFFICIENT_HISTORY</w:t>
            </w:r>
          </w:p>
        </w:tc>
        <w:tc>
          <w:tcPr>
            <w:tcW w:type="dxa" w:w="4025"/>
            <w:tcMar>
              <w:top w:w="80" w:type="dxa"/>
              <w:start w:w="120" w:type="dxa"/>
              <w:bottom w:w="80" w:type="dxa"/>
              <w:end w:w="120" w:type="dxa"/>
            </w:tcMar>
            <w:vAlign w:val="center"/>
          </w:tcPr>
          <w:p>
            <w:pPr>
              <w:spacing w:after="0" w:line="240" w:lineRule="auto"/>
            </w:pPr>
            <w:r>
              <w:rPr>
                <w:rFonts w:ascii="Calibri" w:hAnsi="Calibri"/>
                <w:sz w:val="18"/>
              </w:rPr>
              <w:t>History is too short for the registered model or evaluation</w:t>
            </w:r>
          </w:p>
        </w:tc>
        <w:tc>
          <w:tcPr>
            <w:tcW w:type="dxa" w:w="2714"/>
            <w:tcMar>
              <w:top w:w="80" w:type="dxa"/>
              <w:start w:w="120" w:type="dxa"/>
              <w:bottom w:w="80" w:type="dxa"/>
              <w:end w:w="120" w:type="dxa"/>
            </w:tcMar>
            <w:vAlign w:val="center"/>
          </w:tcPr>
          <w:p>
            <w:pPr>
              <w:spacing w:after="0" w:line="240" w:lineRule="auto"/>
            </w:pPr>
            <w:r>
              <w:rPr>
                <w:rFonts w:ascii="Calibri" w:hAnsi="Calibri"/>
                <w:sz w:val="18"/>
              </w:rPr>
              <w:t>Coverage dates, sample/support limits, no fabricated estimate</w:t>
            </w:r>
          </w:p>
        </w:tc>
      </w:tr>
      <w:tr>
        <w:trPr>
          <w:cantSplit/>
        </w:trPr>
        <w:tc>
          <w:tcPr>
            <w:tcW w:type="dxa" w:w="2621"/>
            <w:tcMar>
              <w:top w:w="80" w:type="dxa"/>
              <w:start w:w="120" w:type="dxa"/>
              <w:bottom w:w="80" w:type="dxa"/>
              <w:end w:w="120" w:type="dxa"/>
            </w:tcMar>
            <w:vAlign w:val="center"/>
          </w:tcPr>
          <w:p>
            <w:pPr>
              <w:spacing w:after="0" w:line="240" w:lineRule="auto"/>
            </w:pPr>
            <w:r>
              <w:rPr>
                <w:rFonts w:ascii="Calibri" w:hAnsi="Calibri"/>
                <w:sz w:val="18"/>
              </w:rPr>
              <w:t>NOT_CONFIGURED</w:t>
            </w:r>
          </w:p>
        </w:tc>
        <w:tc>
          <w:tcPr>
            <w:tcW w:type="dxa" w:w="4025"/>
            <w:tcMar>
              <w:top w:w="80" w:type="dxa"/>
              <w:start w:w="120" w:type="dxa"/>
              <w:bottom w:w="80" w:type="dxa"/>
              <w:end w:w="120" w:type="dxa"/>
            </w:tcMar>
            <w:vAlign w:val="center"/>
          </w:tcPr>
          <w:p>
            <w:pPr>
              <w:spacing w:after="0" w:line="240" w:lineRule="auto"/>
            </w:pPr>
            <w:r>
              <w:rPr>
                <w:rFonts w:ascii="Calibri" w:hAnsi="Calibri"/>
                <w:sz w:val="18"/>
              </w:rPr>
              <w:t>Valid instrument is outside the current production target registry</w:t>
            </w:r>
          </w:p>
        </w:tc>
        <w:tc>
          <w:tcPr>
            <w:tcW w:type="dxa" w:w="2714"/>
            <w:tcMar>
              <w:top w:w="80" w:type="dxa"/>
              <w:start w:w="120" w:type="dxa"/>
              <w:bottom w:w="80" w:type="dxa"/>
              <w:end w:w="120" w:type="dxa"/>
            </w:tcMar>
            <w:vAlign w:val="center"/>
          </w:tcPr>
          <w:p>
            <w:pPr>
              <w:spacing w:after="0" w:line="240" w:lineRule="auto"/>
            </w:pPr>
            <w:r>
              <w:rPr>
                <w:rFonts w:ascii="Calibri" w:hAnsi="Calibri"/>
                <w:sz w:val="18"/>
              </w:rPr>
              <w:t>Visible status and optional request-to-add action</w:t>
            </w:r>
          </w:p>
        </w:tc>
      </w:tr>
      <w:tr>
        <w:trPr>
          <w:cantSplit/>
        </w:trPr>
        <w:tc>
          <w:tcPr>
            <w:tcW w:type="dxa" w:w="2621"/>
            <w:tcMar>
              <w:top w:w="80" w:type="dxa"/>
              <w:start w:w="120" w:type="dxa"/>
              <w:bottom w:w="80" w:type="dxa"/>
              <w:end w:w="120" w:type="dxa"/>
            </w:tcMar>
            <w:vAlign w:val="center"/>
          </w:tcPr>
          <w:p>
            <w:pPr>
              <w:spacing w:after="0" w:line="240" w:lineRule="auto"/>
            </w:pPr>
            <w:r>
              <w:rPr>
                <w:rFonts w:ascii="Calibri" w:hAnsi="Calibri"/>
                <w:sz w:val="18"/>
              </w:rPr>
              <w:t>UNSUPPORTED</w:t>
            </w:r>
          </w:p>
        </w:tc>
        <w:tc>
          <w:tcPr>
            <w:tcW w:type="dxa" w:w="4025"/>
            <w:tcMar>
              <w:top w:w="80" w:type="dxa"/>
              <w:start w:w="120" w:type="dxa"/>
              <w:bottom w:w="80" w:type="dxa"/>
              <w:end w:w="120" w:type="dxa"/>
            </w:tcMar>
            <w:vAlign w:val="center"/>
          </w:tcPr>
          <w:p>
            <w:pPr>
              <w:spacing w:after="0" w:line="240" w:lineRule="auto"/>
            </w:pPr>
            <w:r>
              <w:rPr>
                <w:rFonts w:ascii="Calibri" w:hAnsi="Calibri"/>
                <w:sz w:val="18"/>
              </w:rPr>
              <w:t>Instrument/market type is outside product scope or entitlement</w:t>
            </w:r>
          </w:p>
        </w:tc>
        <w:tc>
          <w:tcPr>
            <w:tcW w:type="dxa" w:w="2714"/>
            <w:tcMar>
              <w:top w:w="80" w:type="dxa"/>
              <w:start w:w="120" w:type="dxa"/>
              <w:bottom w:w="80" w:type="dxa"/>
              <w:end w:w="120" w:type="dxa"/>
            </w:tcMar>
            <w:vAlign w:val="center"/>
          </w:tcPr>
          <w:p>
            <w:pPr>
              <w:spacing w:after="0" w:line="240" w:lineRule="auto"/>
            </w:pPr>
            <w:r>
              <w:rPr>
                <w:rFonts w:ascii="Calibri" w:hAnsi="Calibri"/>
                <w:sz w:val="18"/>
              </w:rPr>
              <w:t>Visible reason; no silent proxy</w:t>
            </w:r>
          </w:p>
        </w:tc>
      </w:tr>
    </w:tbl>
    <w:p>
      <w:pPr>
        <w:spacing w:after="0"/>
      </w:pPr>
    </w:p>
    <w:p>
      <w:pPr>
        <w:pStyle w:val="Heading2"/>
        <w:keepNext/>
        <w:pageBreakBefore w:val="0"/>
        <w:spacing w:before="240" w:after="120"/>
        <w:ind w:left="0" w:firstLine="0"/>
        <w:jc w:val="left"/>
      </w:pPr>
      <w:r>
        <w:t>19.3 Batch execution and UI</w:t>
      </w:r>
    </w:p>
    <w:p>
      <w:pPr>
        <w:pStyle w:val="ListBullet"/>
        <w:spacing w:after="120"/>
        <w:ind w:left="720" w:hanging="360"/>
      </w:pPr>
      <w:r>
        <w:t>Normalize once, then fan out Rust requests with bounded concurrency; each result owns an independent timeout, evidence envelope, and ledger row.</w:t>
      </w:r>
    </w:p>
    <w:p>
      <w:pPr>
        <w:pStyle w:val="ListBullet"/>
        <w:spacing w:after="120"/>
        <w:ind w:left="720" w:hanging="360"/>
      </w:pPr>
      <w:r>
        <w:t>Return 207-style partial semantics in the JSON body while keeping the HTTP contract stable: request success is separate from per-asset readiness.</w:t>
      </w:r>
    </w:p>
    <w:p>
      <w:pPr>
        <w:pStyle w:val="ListBullet"/>
        <w:spacing w:after="120"/>
        <w:ind w:left="720" w:hanging="360"/>
      </w:pPr>
      <w:r>
        <w:t>Render a summary strip: 4 requested / 4 returned / X forecast-valid / Y research-only / Z withheld or unsupported.</w:t>
      </w:r>
    </w:p>
    <w:p>
      <w:pPr>
        <w:pStyle w:val="ListBullet"/>
        <w:spacing w:after="120"/>
        <w:ind w:left="720" w:hanging="360"/>
      </w:pPr>
      <w:r>
        <w:t>Render one comparable row/card per asset with the same horizon, cutoff, source, status, and baseline fields; expandable detail shows drivers and blockers.</w:t>
      </w:r>
    </w:p>
    <w:p>
      <w:pPr>
        <w:pStyle w:val="ListBullet"/>
        <w:spacing w:after="120"/>
        <w:ind w:left="720" w:hanging="360"/>
      </w:pPr>
      <w:r>
        <w:t>A global market or sector context panel may accompany results, but it may never replace or overwrite an asset result.</w:t>
      </w:r>
    </w:p>
    <w:p>
      <w:pPr>
        <w:pStyle w:val="Heading1"/>
        <w:keepNext/>
        <w:pageBreakBefore w:val="0"/>
        <w:spacing w:before="320" w:after="160"/>
        <w:ind w:left="0" w:firstLine="0"/>
        <w:jc w:val="left"/>
      </w:pPr>
      <w:r>
        <w:t>20. Market, Industry, and Sector-Rotation Intelligence</w:t>
      </w:r>
    </w:p>
    <w:p>
      <w:pPr/>
      <w:r>
        <w:t>AXIO7 should not merely classify an isolated ticker. It must estimate market regime, identify which industry clusters are leading or weakening at a declared horizon, and explain whether leadership is broad, concentrated, persistent, or reversing. The product should express 'cloud is leading today' as a timestamped relative-state claim with breadth, benchmark, horizon, uncertainty, and contrary evidence—not as a guaranteed directional trade.</w:t>
      </w:r>
    </w:p>
    <w:p>
      <w:pPr>
        <w:pStyle w:val="Heading2"/>
        <w:keepNext/>
        <w:pageBreakBefore w:val="0"/>
        <w:spacing w:before="240" w:after="120"/>
        <w:ind w:left="0" w:firstLine="0"/>
        <w:jc w:val="left"/>
      </w:pPr>
      <w:r>
        <w:t>20.1 Versioned market taxonomy</w:t>
      </w:r>
    </w:p>
    <w:tbl>
      <w:tblPr>
        <w:tblW w:type="dxa" w:w="9360"/>
        <w:jc w:val="center"/>
        <w:tblLayout w:type="fixed"/>
        <w:tblLook w:firstColumn="1" w:firstRow="1" w:lastColumn="0" w:lastRow="0" w:noHBand="0" w:noVBand="1" w:val="04A0"/>
      </w:tblPr>
      <w:tblGrid>
        <w:gridCol w:w="2059"/>
        <w:gridCol w:w="3370"/>
        <w:gridCol w:w="3931"/>
      </w:tblGrid>
      <w:tr>
        <w:trPr>
          <w:tblHeader w:val="true"/>
          <w:cantSplit/>
        </w:trPr>
        <w:tc>
          <w:tcPr>
            <w:tcW w:type="dxa" w:w="2059"/>
            <w:tcMar>
              <w:top w:w="80" w:type="dxa"/>
              <w:start w:w="120" w:type="dxa"/>
              <w:bottom w:w="80" w:type="dxa"/>
              <w:end w:w="120" w:type="dxa"/>
            </w:tcMar>
            <w:vAlign w:val="center"/>
            <w:shd w:fill="F2F4F7"/>
          </w:tcPr>
          <w:p>
            <w:pPr>
              <w:spacing w:after="0" w:line="240" w:lineRule="auto"/>
            </w:pPr>
            <w:r>
              <w:rPr>
                <w:rFonts w:ascii="Calibri" w:hAnsi="Calibri"/>
                <w:b/>
                <w:color w:val="1F4D78"/>
                <w:sz w:val="18"/>
              </w:rPr>
              <w:t>Layer</w:t>
            </w:r>
          </w:p>
        </w:tc>
        <w:tc>
          <w:tcPr>
            <w:tcW w:type="dxa" w:w="3370"/>
            <w:tcMar>
              <w:top w:w="80" w:type="dxa"/>
              <w:start w:w="120" w:type="dxa"/>
              <w:bottom w:w="80" w:type="dxa"/>
              <w:end w:w="120" w:type="dxa"/>
            </w:tcMar>
            <w:vAlign w:val="center"/>
            <w:shd w:fill="F2F4F7"/>
          </w:tcPr>
          <w:p>
            <w:pPr>
              <w:spacing w:after="0" w:line="240" w:lineRule="auto"/>
            </w:pPr>
            <w:r>
              <w:rPr>
                <w:rFonts w:ascii="Calibri" w:hAnsi="Calibri"/>
                <w:b/>
                <w:color w:val="1F4D78"/>
                <w:sz w:val="18"/>
              </w:rPr>
              <w:t>Reference basket</w:t>
            </w:r>
          </w:p>
        </w:tc>
        <w:tc>
          <w:tcPr>
            <w:tcW w:type="dxa" w:w="3931"/>
            <w:tcMar>
              <w:top w:w="80" w:type="dxa"/>
              <w:start w:w="120" w:type="dxa"/>
              <w:bottom w:w="80" w:type="dxa"/>
              <w:end w:w="120" w:type="dxa"/>
            </w:tcMar>
            <w:vAlign w:val="center"/>
            <w:shd w:fill="F2F4F7"/>
          </w:tcPr>
          <w:p>
            <w:pPr>
              <w:spacing w:after="0" w:line="240" w:lineRule="auto"/>
            </w:pPr>
            <w:r>
              <w:rPr>
                <w:rFonts w:ascii="Calibri" w:hAnsi="Calibri"/>
                <w:b/>
                <w:color w:val="1F4D78"/>
                <w:sz w:val="18"/>
              </w:rPr>
              <w:t>Required coverage / identity policy</w:t>
            </w:r>
          </w:p>
        </w:tc>
      </w:tr>
      <w:tr>
        <w:trPr>
          <w:cantSplit/>
        </w:trPr>
        <w:tc>
          <w:tcPr>
            <w:tcW w:type="dxa" w:w="2059"/>
            <w:tcMar>
              <w:top w:w="80" w:type="dxa"/>
              <w:start w:w="120" w:type="dxa"/>
              <w:bottom w:w="80" w:type="dxa"/>
              <w:end w:w="120" w:type="dxa"/>
            </w:tcMar>
            <w:vAlign w:val="center"/>
          </w:tcPr>
          <w:p>
            <w:pPr>
              <w:spacing w:after="0" w:line="240" w:lineRule="auto"/>
            </w:pPr>
            <w:r>
              <w:rPr>
                <w:rFonts w:ascii="Calibri" w:hAnsi="Calibri"/>
                <w:sz w:val="18"/>
              </w:rPr>
              <w:t>Market regime</w:t>
            </w:r>
          </w:p>
        </w:tc>
        <w:tc>
          <w:tcPr>
            <w:tcW w:type="dxa" w:w="3370"/>
            <w:tcMar>
              <w:top w:w="80" w:type="dxa"/>
              <w:start w:w="120" w:type="dxa"/>
              <w:bottom w:w="80" w:type="dxa"/>
              <w:end w:w="120" w:type="dxa"/>
            </w:tcMar>
            <w:vAlign w:val="center"/>
          </w:tcPr>
          <w:p>
            <w:pPr>
              <w:spacing w:after="0" w:line="240" w:lineRule="auto"/>
            </w:pPr>
            <w:r>
              <w:rPr>
                <w:rFonts w:ascii="Calibri" w:hAnsi="Calibri"/>
                <w:sz w:val="18"/>
              </w:rPr>
              <w:t>SPX/SPY, QQQ, IWM, VIX/VXX, HYG, TLT, UUP</w:t>
            </w:r>
          </w:p>
        </w:tc>
        <w:tc>
          <w:tcPr>
            <w:tcW w:type="dxa" w:w="3931"/>
            <w:tcMar>
              <w:top w:w="80" w:type="dxa"/>
              <w:start w:w="120" w:type="dxa"/>
              <w:bottom w:w="80" w:type="dxa"/>
              <w:end w:w="120" w:type="dxa"/>
            </w:tcMar>
            <w:vAlign w:val="center"/>
          </w:tcPr>
          <w:p>
            <w:pPr>
              <w:spacing w:after="0" w:line="240" w:lineRule="auto"/>
            </w:pPr>
            <w:r>
              <w:rPr>
                <w:rFonts w:ascii="Calibri" w:hAnsi="Calibri"/>
                <w:sz w:val="18"/>
              </w:rPr>
              <w:t>Risk-on/off, breadth, rates, volatility and liquidity context</w:t>
            </w:r>
          </w:p>
        </w:tc>
      </w:tr>
      <w:tr>
        <w:trPr>
          <w:cantSplit/>
        </w:trPr>
        <w:tc>
          <w:tcPr>
            <w:tcW w:type="dxa" w:w="2059"/>
            <w:tcMar>
              <w:top w:w="80" w:type="dxa"/>
              <w:start w:w="120" w:type="dxa"/>
              <w:bottom w:w="80" w:type="dxa"/>
              <w:end w:w="120" w:type="dxa"/>
            </w:tcMar>
            <w:vAlign w:val="center"/>
          </w:tcPr>
          <w:p>
            <w:pPr>
              <w:spacing w:after="0" w:line="240" w:lineRule="auto"/>
            </w:pPr>
            <w:r>
              <w:rPr>
                <w:rFonts w:ascii="Calibri" w:hAnsi="Calibri"/>
                <w:sz w:val="18"/>
              </w:rPr>
              <w:t>Magnificent Seven</w:t>
            </w:r>
          </w:p>
        </w:tc>
        <w:tc>
          <w:tcPr>
            <w:tcW w:type="dxa" w:w="3370"/>
            <w:tcMar>
              <w:top w:w="80" w:type="dxa"/>
              <w:start w:w="120" w:type="dxa"/>
              <w:bottom w:w="80" w:type="dxa"/>
              <w:end w:w="120" w:type="dxa"/>
            </w:tcMar>
            <w:vAlign w:val="center"/>
          </w:tcPr>
          <w:p>
            <w:pPr>
              <w:spacing w:after="0" w:line="240" w:lineRule="auto"/>
            </w:pPr>
            <w:r>
              <w:rPr>
                <w:rFonts w:ascii="Calibri" w:hAnsi="Calibri"/>
                <w:sz w:val="18"/>
              </w:rPr>
              <w:t>MAGS plus AAPL, MSFT, AMZN, GOOG, GOOGL, META, NVDA, TSLA</w:t>
            </w:r>
          </w:p>
        </w:tc>
        <w:tc>
          <w:tcPr>
            <w:tcW w:type="dxa" w:w="3931"/>
            <w:tcMar>
              <w:top w:w="80" w:type="dxa"/>
              <w:start w:w="120" w:type="dxa"/>
              <w:bottom w:w="80" w:type="dxa"/>
              <w:end w:w="120" w:type="dxa"/>
            </w:tcMar>
            <w:vAlign w:val="center"/>
          </w:tcPr>
          <w:p>
            <w:pPr>
              <w:spacing w:after="0" w:line="240" w:lineRule="auto"/>
            </w:pPr>
            <w:r>
              <w:rPr>
                <w:rFonts w:ascii="Calibri" w:hAnsi="Calibri"/>
                <w:sz w:val="18"/>
              </w:rPr>
              <w:t>Preserve share classes; use point-in-time membership and weights</w:t>
            </w:r>
          </w:p>
        </w:tc>
      </w:tr>
      <w:tr>
        <w:trPr>
          <w:cantSplit/>
        </w:trPr>
        <w:tc>
          <w:tcPr>
            <w:tcW w:type="dxa" w:w="2059"/>
            <w:tcMar>
              <w:top w:w="80" w:type="dxa"/>
              <w:start w:w="120" w:type="dxa"/>
              <w:bottom w:w="80" w:type="dxa"/>
              <w:end w:w="120" w:type="dxa"/>
            </w:tcMar>
            <w:vAlign w:val="center"/>
          </w:tcPr>
          <w:p>
            <w:pPr>
              <w:spacing w:after="0" w:line="240" w:lineRule="auto"/>
            </w:pPr>
            <w:r>
              <w:rPr>
                <w:rFonts w:ascii="Calibri" w:hAnsi="Calibri"/>
                <w:sz w:val="18"/>
              </w:rPr>
              <w:t>Cloud</w:t>
            </w:r>
          </w:p>
        </w:tc>
        <w:tc>
          <w:tcPr>
            <w:tcW w:type="dxa" w:w="3370"/>
            <w:tcMar>
              <w:top w:w="80" w:type="dxa"/>
              <w:start w:w="120" w:type="dxa"/>
              <w:bottom w:w="80" w:type="dxa"/>
              <w:end w:w="120" w:type="dxa"/>
            </w:tcMar>
            <w:vAlign w:val="center"/>
          </w:tcPr>
          <w:p>
            <w:pPr>
              <w:spacing w:after="0" w:line="240" w:lineRule="auto"/>
            </w:pPr>
            <w:r>
              <w:rPr>
                <w:rFonts w:ascii="Calibri" w:hAnsi="Calibri"/>
                <w:sz w:val="18"/>
              </w:rPr>
              <w:t>SKYY/CLOU/WCLD plus point-in-time constituents</w:t>
            </w:r>
          </w:p>
        </w:tc>
        <w:tc>
          <w:tcPr>
            <w:tcW w:type="dxa" w:w="3931"/>
            <w:tcMar>
              <w:top w:w="80" w:type="dxa"/>
              <w:start w:w="120" w:type="dxa"/>
              <w:bottom w:w="80" w:type="dxa"/>
              <w:end w:w="120" w:type="dxa"/>
            </w:tcMar>
            <w:vAlign w:val="center"/>
          </w:tcPr>
          <w:p>
            <w:pPr>
              <w:spacing w:after="0" w:line="240" w:lineRule="auto"/>
            </w:pPr>
            <w:r>
              <w:rPr>
                <w:rFonts w:ascii="Calibri" w:hAnsi="Calibri"/>
                <w:sz w:val="18"/>
              </w:rPr>
              <w:t>Separate infrastructure, platform and application software subclusters</w:t>
            </w:r>
          </w:p>
        </w:tc>
      </w:tr>
      <w:tr>
        <w:trPr>
          <w:cantSplit/>
        </w:trPr>
        <w:tc>
          <w:tcPr>
            <w:tcW w:type="dxa" w:w="2059"/>
            <w:tcMar>
              <w:top w:w="80" w:type="dxa"/>
              <w:start w:w="120" w:type="dxa"/>
              <w:bottom w:w="80" w:type="dxa"/>
              <w:end w:w="120" w:type="dxa"/>
            </w:tcMar>
            <w:vAlign w:val="center"/>
          </w:tcPr>
          <w:p>
            <w:pPr>
              <w:spacing w:after="0" w:line="240" w:lineRule="auto"/>
            </w:pPr>
            <w:r>
              <w:rPr>
                <w:rFonts w:ascii="Calibri" w:hAnsi="Calibri"/>
                <w:sz w:val="18"/>
              </w:rPr>
              <w:t>Software</w:t>
            </w:r>
          </w:p>
        </w:tc>
        <w:tc>
          <w:tcPr>
            <w:tcW w:type="dxa" w:w="3370"/>
            <w:tcMar>
              <w:top w:w="80" w:type="dxa"/>
              <w:start w:w="120" w:type="dxa"/>
              <w:bottom w:w="80" w:type="dxa"/>
              <w:end w:w="120" w:type="dxa"/>
            </w:tcMar>
            <w:vAlign w:val="center"/>
          </w:tcPr>
          <w:p>
            <w:pPr>
              <w:spacing w:after="0" w:line="240" w:lineRule="auto"/>
            </w:pPr>
            <w:r>
              <w:rPr>
                <w:rFonts w:ascii="Calibri" w:hAnsi="Calibri"/>
                <w:sz w:val="18"/>
              </w:rPr>
              <w:t>IGV plus point-in-time constituents</w:t>
            </w:r>
          </w:p>
        </w:tc>
        <w:tc>
          <w:tcPr>
            <w:tcW w:type="dxa" w:w="3931"/>
            <w:tcMar>
              <w:top w:w="80" w:type="dxa"/>
              <w:start w:w="120" w:type="dxa"/>
              <w:bottom w:w="80" w:type="dxa"/>
              <w:end w:w="120" w:type="dxa"/>
            </w:tcMar>
            <w:vAlign w:val="center"/>
          </w:tcPr>
          <w:p>
            <w:pPr>
              <w:spacing w:after="0" w:line="240" w:lineRule="auto"/>
            </w:pPr>
            <w:r>
              <w:rPr>
                <w:rFonts w:ascii="Calibri" w:hAnsi="Calibri"/>
                <w:sz w:val="18"/>
              </w:rPr>
              <w:t>Distinguish security, data, developer and enterprise application cohorts</w:t>
            </w:r>
          </w:p>
        </w:tc>
      </w:tr>
      <w:tr>
        <w:trPr>
          <w:cantSplit/>
        </w:trPr>
        <w:tc>
          <w:tcPr>
            <w:tcW w:type="dxa" w:w="2059"/>
            <w:tcMar>
              <w:top w:w="80" w:type="dxa"/>
              <w:start w:w="120" w:type="dxa"/>
              <w:bottom w:w="80" w:type="dxa"/>
              <w:end w:w="120" w:type="dxa"/>
            </w:tcMar>
            <w:vAlign w:val="center"/>
          </w:tcPr>
          <w:p>
            <w:pPr>
              <w:spacing w:after="0" w:line="240" w:lineRule="auto"/>
            </w:pPr>
            <w:r>
              <w:rPr>
                <w:rFonts w:ascii="Calibri" w:hAnsi="Calibri"/>
                <w:sz w:val="18"/>
              </w:rPr>
              <w:t>Semiconductors</w:t>
            </w:r>
          </w:p>
        </w:tc>
        <w:tc>
          <w:tcPr>
            <w:tcW w:type="dxa" w:w="3370"/>
            <w:tcMar>
              <w:top w:w="80" w:type="dxa"/>
              <w:start w:w="120" w:type="dxa"/>
              <w:bottom w:w="80" w:type="dxa"/>
              <w:end w:w="120" w:type="dxa"/>
            </w:tcMar>
            <w:vAlign w:val="center"/>
          </w:tcPr>
          <w:p>
            <w:pPr>
              <w:spacing w:after="0" w:line="240" w:lineRule="auto"/>
            </w:pPr>
            <w:r>
              <w:rPr>
                <w:rFonts w:ascii="Calibri" w:hAnsi="Calibri"/>
                <w:sz w:val="18"/>
              </w:rPr>
              <w:t>SOXX/SMH plus NVDA, AVGO, AMD, MU, TSM, ASML and peers</w:t>
            </w:r>
          </w:p>
        </w:tc>
        <w:tc>
          <w:tcPr>
            <w:tcW w:type="dxa" w:w="3931"/>
            <w:tcMar>
              <w:top w:w="80" w:type="dxa"/>
              <w:start w:w="120" w:type="dxa"/>
              <w:bottom w:w="80" w:type="dxa"/>
              <w:end w:w="120" w:type="dxa"/>
            </w:tcMar>
            <w:vAlign w:val="center"/>
          </w:tcPr>
          <w:p>
            <w:pPr>
              <w:spacing w:after="0" w:line="240" w:lineRule="auto"/>
            </w:pPr>
            <w:r>
              <w:rPr>
                <w:rFonts w:ascii="Calibri" w:hAnsi="Calibri"/>
                <w:sz w:val="18"/>
              </w:rPr>
              <w:t>Separate design, foundry, equipment, networking and memory</w:t>
            </w:r>
          </w:p>
        </w:tc>
      </w:tr>
      <w:tr>
        <w:trPr>
          <w:cantSplit/>
        </w:trPr>
        <w:tc>
          <w:tcPr>
            <w:tcW w:type="dxa" w:w="2059"/>
            <w:tcMar>
              <w:top w:w="80" w:type="dxa"/>
              <w:start w:w="120" w:type="dxa"/>
              <w:bottom w:w="80" w:type="dxa"/>
              <w:end w:w="120" w:type="dxa"/>
            </w:tcMar>
            <w:vAlign w:val="center"/>
          </w:tcPr>
          <w:p>
            <w:pPr>
              <w:spacing w:after="0" w:line="240" w:lineRule="auto"/>
            </w:pPr>
            <w:r>
              <w:rPr>
                <w:rFonts w:ascii="Calibri" w:hAnsi="Calibri"/>
                <w:sz w:val="18"/>
              </w:rPr>
              <w:t>Memory / storage</w:t>
            </w:r>
          </w:p>
        </w:tc>
        <w:tc>
          <w:tcPr>
            <w:tcW w:type="dxa" w:w="3370"/>
            <w:tcMar>
              <w:top w:w="80" w:type="dxa"/>
              <w:start w:w="120" w:type="dxa"/>
              <w:bottom w:w="80" w:type="dxa"/>
              <w:end w:w="120" w:type="dxa"/>
            </w:tcMar>
            <w:vAlign w:val="center"/>
          </w:tcPr>
          <w:p>
            <w:pPr>
              <w:spacing w:after="0" w:line="240" w:lineRule="auto"/>
            </w:pPr>
            <w:r>
              <w:rPr>
                <w:rFonts w:ascii="Calibri" w:hAnsi="Calibri"/>
                <w:sz w:val="18"/>
              </w:rPr>
              <w:t>MU, SNDK, WDC, STX</w:t>
            </w:r>
          </w:p>
        </w:tc>
        <w:tc>
          <w:tcPr>
            <w:tcW w:type="dxa" w:w="3931"/>
            <w:tcMar>
              <w:top w:w="80" w:type="dxa"/>
              <w:start w:w="120" w:type="dxa"/>
              <w:bottom w:w="80" w:type="dxa"/>
              <w:end w:w="120" w:type="dxa"/>
            </w:tcMar>
            <w:vAlign w:val="center"/>
          </w:tcPr>
          <w:p>
            <w:pPr>
              <w:spacing w:after="0" w:line="240" w:lineRule="auto"/>
            </w:pPr>
            <w:r>
              <w:rPr>
                <w:rFonts w:ascii="Calibri" w:hAnsi="Calibri"/>
                <w:sz w:val="18"/>
              </w:rPr>
              <w:t>No SNDK history splice; distinguish NAND, DRAM and storage-device exposure</w:t>
            </w:r>
          </w:p>
        </w:tc>
      </w:tr>
      <w:tr>
        <w:trPr>
          <w:cantSplit/>
        </w:trPr>
        <w:tc>
          <w:tcPr>
            <w:tcW w:type="dxa" w:w="2059"/>
            <w:tcMar>
              <w:top w:w="80" w:type="dxa"/>
              <w:start w:w="120" w:type="dxa"/>
              <w:bottom w:w="80" w:type="dxa"/>
              <w:end w:w="120" w:type="dxa"/>
            </w:tcMar>
            <w:vAlign w:val="center"/>
          </w:tcPr>
          <w:p>
            <w:pPr>
              <w:spacing w:after="0" w:line="240" w:lineRule="auto"/>
            </w:pPr>
            <w:r>
              <w:rPr>
                <w:rFonts w:ascii="Calibri" w:hAnsi="Calibri"/>
                <w:sz w:val="18"/>
              </w:rPr>
              <w:t>GICS-style sectors</w:t>
            </w:r>
          </w:p>
        </w:tc>
        <w:tc>
          <w:tcPr>
            <w:tcW w:type="dxa" w:w="3370"/>
            <w:tcMar>
              <w:top w:w="80" w:type="dxa"/>
              <w:start w:w="120" w:type="dxa"/>
              <w:bottom w:w="80" w:type="dxa"/>
              <w:end w:w="120" w:type="dxa"/>
            </w:tcMar>
            <w:vAlign w:val="center"/>
          </w:tcPr>
          <w:p>
            <w:pPr>
              <w:spacing w:after="0" w:line="240" w:lineRule="auto"/>
            </w:pPr>
            <w:r>
              <w:rPr>
                <w:rFonts w:ascii="Calibri" w:hAnsi="Calibri"/>
                <w:sz w:val="18"/>
              </w:rPr>
              <w:t>XLK, XLC, XLY, XLF, XLE, XLI, XLV, XLP, XLU, XLRE, XLB</w:t>
            </w:r>
          </w:p>
        </w:tc>
        <w:tc>
          <w:tcPr>
            <w:tcW w:type="dxa" w:w="3931"/>
            <w:tcMar>
              <w:top w:w="80" w:type="dxa"/>
              <w:start w:w="120" w:type="dxa"/>
              <w:bottom w:w="80" w:type="dxa"/>
              <w:end w:w="120" w:type="dxa"/>
            </w:tcMar>
            <w:vAlign w:val="center"/>
          </w:tcPr>
          <w:p>
            <w:pPr>
              <w:spacing w:after="0" w:line="240" w:lineRule="auto"/>
            </w:pPr>
            <w:r>
              <w:rPr>
                <w:rFonts w:ascii="Calibri" w:hAnsi="Calibri"/>
                <w:sz w:val="18"/>
              </w:rPr>
              <w:t>Point-in-time membership, corporate actions and index rebalances</w:t>
            </w:r>
          </w:p>
        </w:tc>
      </w:tr>
    </w:tbl>
    <w:p>
      <w:pPr>
        <w:spacing w:after="0"/>
      </w:pPr>
    </w:p>
    <w:p>
      <w:pPr>
        <w:pStyle w:val="Heading2"/>
        <w:keepNext/>
        <w:pageBreakBefore w:val="0"/>
        <w:spacing w:before="240" w:after="120"/>
        <w:ind w:left="0" w:firstLine="0"/>
        <w:jc w:val="left"/>
      </w:pPr>
      <w:r>
        <w:t>20.2 Rotation feature families</w:t>
      </w:r>
    </w:p>
    <w:tbl>
      <w:tblPr>
        <w:tblW w:type="dxa" w:w="9360"/>
        <w:jc w:val="center"/>
        <w:tblLayout w:type="fixed"/>
        <w:tblLook w:firstColumn="1" w:firstRow="1" w:lastColumn="0" w:lastRow="0" w:noHBand="0" w:noVBand="1" w:val="04A0"/>
      </w:tblPr>
      <w:tblGrid>
        <w:gridCol w:w="1778"/>
        <w:gridCol w:w="4586"/>
        <w:gridCol w:w="2995"/>
      </w:tblGrid>
      <w:tr>
        <w:trPr>
          <w:tblHeader w:val="true"/>
          <w:cantSplit/>
        </w:trPr>
        <w:tc>
          <w:tcPr>
            <w:tcW w:type="dxa" w:w="1778"/>
            <w:tcMar>
              <w:top w:w="80" w:type="dxa"/>
              <w:start w:w="120" w:type="dxa"/>
              <w:bottom w:w="80" w:type="dxa"/>
              <w:end w:w="120" w:type="dxa"/>
            </w:tcMar>
            <w:vAlign w:val="center"/>
            <w:shd w:fill="F2F4F7"/>
          </w:tcPr>
          <w:p>
            <w:pPr>
              <w:spacing w:after="0" w:line="240" w:lineRule="auto"/>
            </w:pPr>
            <w:r>
              <w:rPr>
                <w:rFonts w:ascii="Calibri" w:hAnsi="Calibri"/>
                <w:b/>
                <w:color w:val="1F4D78"/>
                <w:sz w:val="18"/>
              </w:rPr>
              <w:t>Family</w:t>
            </w:r>
          </w:p>
        </w:tc>
        <w:tc>
          <w:tcPr>
            <w:tcW w:type="dxa" w:w="4586"/>
            <w:tcMar>
              <w:top w:w="80" w:type="dxa"/>
              <w:start w:w="120" w:type="dxa"/>
              <w:bottom w:w="80" w:type="dxa"/>
              <w:end w:w="120" w:type="dxa"/>
            </w:tcMar>
            <w:vAlign w:val="center"/>
            <w:shd w:fill="F2F4F7"/>
          </w:tcPr>
          <w:p>
            <w:pPr>
              <w:spacing w:after="0" w:line="240" w:lineRule="auto"/>
            </w:pPr>
            <w:r>
              <w:rPr>
                <w:rFonts w:ascii="Calibri" w:hAnsi="Calibri"/>
                <w:b/>
                <w:color w:val="1F4D78"/>
                <w:sz w:val="18"/>
              </w:rPr>
              <w:t>Causal inputs</w:t>
            </w:r>
          </w:p>
        </w:tc>
        <w:tc>
          <w:tcPr>
            <w:tcW w:type="dxa" w:w="2995"/>
            <w:tcMar>
              <w:top w:w="80" w:type="dxa"/>
              <w:start w:w="120" w:type="dxa"/>
              <w:bottom w:w="80" w:type="dxa"/>
              <w:end w:w="120" w:type="dxa"/>
            </w:tcMar>
            <w:vAlign w:val="center"/>
            <w:shd w:fill="F2F4F7"/>
          </w:tcPr>
          <w:p>
            <w:pPr>
              <w:spacing w:after="0" w:line="240" w:lineRule="auto"/>
            </w:pPr>
            <w:r>
              <w:rPr>
                <w:rFonts w:ascii="Calibri" w:hAnsi="Calibri"/>
                <w:b/>
                <w:color w:val="1F4D78"/>
                <w:sz w:val="18"/>
              </w:rPr>
              <w:t>Required output / control</w:t>
            </w:r>
          </w:p>
        </w:tc>
      </w:tr>
      <w:tr>
        <w:trPr>
          <w:cantSplit/>
        </w:trPr>
        <w:tc>
          <w:tcPr>
            <w:tcW w:type="dxa" w:w="1778"/>
            <w:tcMar>
              <w:top w:w="80" w:type="dxa"/>
              <w:start w:w="120" w:type="dxa"/>
              <w:bottom w:w="80" w:type="dxa"/>
              <w:end w:w="120" w:type="dxa"/>
            </w:tcMar>
            <w:vAlign w:val="center"/>
          </w:tcPr>
          <w:p>
            <w:pPr>
              <w:spacing w:after="0" w:line="240" w:lineRule="auto"/>
            </w:pPr>
            <w:r>
              <w:rPr>
                <w:rFonts w:ascii="Calibri" w:hAnsi="Calibri"/>
                <w:sz w:val="18"/>
              </w:rPr>
              <w:t>Relative strength</w:t>
            </w:r>
          </w:p>
        </w:tc>
        <w:tc>
          <w:tcPr>
            <w:tcW w:type="dxa" w:w="4586"/>
            <w:tcMar>
              <w:top w:w="80" w:type="dxa"/>
              <w:start w:w="120" w:type="dxa"/>
              <w:bottom w:w="80" w:type="dxa"/>
              <w:end w:w="120" w:type="dxa"/>
            </w:tcMar>
            <w:vAlign w:val="center"/>
          </w:tcPr>
          <w:p>
            <w:pPr>
              <w:spacing w:after="0" w:line="240" w:lineRule="auto"/>
            </w:pPr>
            <w:r>
              <w:rPr>
                <w:rFonts w:ascii="Calibri" w:hAnsi="Calibri"/>
                <w:sz w:val="18"/>
              </w:rPr>
              <w:t>Residual returns versus SPY/QQQ and sector benchmark at 5m, 30m, 1d, 5d, 20d</w:t>
            </w:r>
          </w:p>
        </w:tc>
        <w:tc>
          <w:tcPr>
            <w:tcW w:type="dxa" w:w="2995"/>
            <w:tcMar>
              <w:top w:w="80" w:type="dxa"/>
              <w:start w:w="120" w:type="dxa"/>
              <w:bottom w:w="80" w:type="dxa"/>
              <w:end w:w="120" w:type="dxa"/>
            </w:tcMar>
            <w:vAlign w:val="center"/>
          </w:tcPr>
          <w:p>
            <w:pPr>
              <w:spacing w:after="0" w:line="240" w:lineRule="auto"/>
            </w:pPr>
            <w:r>
              <w:rPr>
                <w:rFonts w:ascii="Calibri" w:hAnsi="Calibri"/>
                <w:sz w:val="18"/>
              </w:rPr>
              <w:t>Rank, slope, persistence; compare to simple momentum baseline</w:t>
            </w:r>
          </w:p>
        </w:tc>
      </w:tr>
      <w:tr>
        <w:trPr>
          <w:cantSplit/>
        </w:trPr>
        <w:tc>
          <w:tcPr>
            <w:tcW w:type="dxa" w:w="1778"/>
            <w:tcMar>
              <w:top w:w="80" w:type="dxa"/>
              <w:start w:w="120" w:type="dxa"/>
              <w:bottom w:w="80" w:type="dxa"/>
              <w:end w:w="120" w:type="dxa"/>
            </w:tcMar>
            <w:vAlign w:val="center"/>
          </w:tcPr>
          <w:p>
            <w:pPr>
              <w:spacing w:after="0" w:line="240" w:lineRule="auto"/>
            </w:pPr>
            <w:r>
              <w:rPr>
                <w:rFonts w:ascii="Calibri" w:hAnsi="Calibri"/>
                <w:sz w:val="18"/>
              </w:rPr>
              <w:t>Breadth / participation</w:t>
            </w:r>
          </w:p>
        </w:tc>
        <w:tc>
          <w:tcPr>
            <w:tcW w:type="dxa" w:w="4586"/>
            <w:tcMar>
              <w:top w:w="80" w:type="dxa"/>
              <w:start w:w="120" w:type="dxa"/>
              <w:bottom w:w="80" w:type="dxa"/>
              <w:end w:w="120" w:type="dxa"/>
            </w:tcMar>
            <w:vAlign w:val="center"/>
          </w:tcPr>
          <w:p>
            <w:pPr>
              <w:spacing w:after="0" w:line="240" w:lineRule="auto"/>
            </w:pPr>
            <w:r>
              <w:rPr>
                <w:rFonts w:ascii="Calibri" w:hAnsi="Calibri"/>
                <w:sz w:val="18"/>
              </w:rPr>
              <w:t>Advancers, above-VWAP, above moving averages, new highs/lows, cap-weight vs equal-weight</w:t>
            </w:r>
          </w:p>
        </w:tc>
        <w:tc>
          <w:tcPr>
            <w:tcW w:type="dxa" w:w="2995"/>
            <w:tcMar>
              <w:top w:w="80" w:type="dxa"/>
              <w:start w:w="120" w:type="dxa"/>
              <w:bottom w:w="80" w:type="dxa"/>
              <w:end w:w="120" w:type="dxa"/>
            </w:tcMar>
            <w:vAlign w:val="center"/>
          </w:tcPr>
          <w:p>
            <w:pPr>
              <w:spacing w:after="0" w:line="240" w:lineRule="auto"/>
            </w:pPr>
            <w:r>
              <w:rPr>
                <w:rFonts w:ascii="Calibri" w:hAnsi="Calibri"/>
                <w:sz w:val="18"/>
              </w:rPr>
              <w:t>Breadth score and concentration warning</w:t>
            </w:r>
          </w:p>
        </w:tc>
      </w:tr>
      <w:tr>
        <w:trPr>
          <w:cantSplit/>
        </w:trPr>
        <w:tc>
          <w:tcPr>
            <w:tcW w:type="dxa" w:w="1778"/>
            <w:tcMar>
              <w:top w:w="80" w:type="dxa"/>
              <w:start w:w="120" w:type="dxa"/>
              <w:bottom w:w="80" w:type="dxa"/>
              <w:end w:w="120" w:type="dxa"/>
            </w:tcMar>
            <w:vAlign w:val="center"/>
          </w:tcPr>
          <w:p>
            <w:pPr>
              <w:spacing w:after="0" w:line="240" w:lineRule="auto"/>
            </w:pPr>
            <w:r>
              <w:rPr>
                <w:rFonts w:ascii="Calibri" w:hAnsi="Calibri"/>
                <w:sz w:val="18"/>
              </w:rPr>
              <w:t>Leadership diffusion</w:t>
            </w:r>
          </w:p>
        </w:tc>
        <w:tc>
          <w:tcPr>
            <w:tcW w:type="dxa" w:w="4586"/>
            <w:tcMar>
              <w:top w:w="80" w:type="dxa"/>
              <w:start w:w="120" w:type="dxa"/>
              <w:bottom w:w="80" w:type="dxa"/>
              <w:end w:w="120" w:type="dxa"/>
            </w:tcMar>
            <w:vAlign w:val="center"/>
          </w:tcPr>
          <w:p>
            <w:pPr>
              <w:spacing w:after="0" w:line="240" w:lineRule="auto"/>
            </w:pPr>
            <w:r>
              <w:rPr>
                <w:rFonts w:ascii="Calibri" w:hAnsi="Calibri"/>
                <w:sz w:val="18"/>
              </w:rPr>
              <w:t>Constituent contribution, dispersion, cross-sectional correlation, lead/lag</w:t>
            </w:r>
          </w:p>
        </w:tc>
        <w:tc>
          <w:tcPr>
            <w:tcW w:type="dxa" w:w="2995"/>
            <w:tcMar>
              <w:top w:w="80" w:type="dxa"/>
              <w:start w:w="120" w:type="dxa"/>
              <w:bottom w:w="80" w:type="dxa"/>
              <w:end w:w="120" w:type="dxa"/>
            </w:tcMar>
            <w:vAlign w:val="center"/>
          </w:tcPr>
          <w:p>
            <w:pPr>
              <w:spacing w:after="0" w:line="240" w:lineRule="auto"/>
            </w:pPr>
            <w:r>
              <w:rPr>
                <w:rFonts w:ascii="Calibri" w:hAnsi="Calibri"/>
                <w:sz w:val="18"/>
              </w:rPr>
              <w:t>Leader/laggard map and transition evidence</w:t>
            </w:r>
          </w:p>
        </w:tc>
      </w:tr>
      <w:tr>
        <w:trPr>
          <w:cantSplit/>
        </w:trPr>
        <w:tc>
          <w:tcPr>
            <w:tcW w:type="dxa" w:w="1778"/>
            <w:tcMar>
              <w:top w:w="80" w:type="dxa"/>
              <w:start w:w="120" w:type="dxa"/>
              <w:bottom w:w="80" w:type="dxa"/>
              <w:end w:w="120" w:type="dxa"/>
            </w:tcMar>
            <w:vAlign w:val="center"/>
          </w:tcPr>
          <w:p>
            <w:pPr>
              <w:spacing w:after="0" w:line="240" w:lineRule="auto"/>
            </w:pPr>
            <w:r>
              <w:rPr>
                <w:rFonts w:ascii="Calibri" w:hAnsi="Calibri"/>
                <w:sz w:val="18"/>
              </w:rPr>
              <w:t>Flow / liquidity</w:t>
            </w:r>
          </w:p>
        </w:tc>
        <w:tc>
          <w:tcPr>
            <w:tcW w:type="dxa" w:w="4586"/>
            <w:tcMar>
              <w:top w:w="80" w:type="dxa"/>
              <w:start w:w="120" w:type="dxa"/>
              <w:bottom w:w="80" w:type="dxa"/>
              <w:end w:w="120" w:type="dxa"/>
            </w:tcMar>
            <w:vAlign w:val="center"/>
          </w:tcPr>
          <w:p>
            <w:pPr>
              <w:spacing w:after="0" w:line="240" w:lineRule="auto"/>
            </w:pPr>
            <w:r>
              <w:rPr>
                <w:rFonts w:ascii="Calibri" w:hAnsi="Calibri"/>
                <w:sz w:val="18"/>
              </w:rPr>
              <w:t>Relative volume, spread, depth, OFI, auction/ETF flow where licensed</w:t>
            </w:r>
          </w:p>
        </w:tc>
        <w:tc>
          <w:tcPr>
            <w:tcW w:type="dxa" w:w="2995"/>
            <w:tcMar>
              <w:top w:w="80" w:type="dxa"/>
              <w:start w:w="120" w:type="dxa"/>
              <w:bottom w:w="80" w:type="dxa"/>
              <w:end w:w="120" w:type="dxa"/>
            </w:tcMar>
            <w:vAlign w:val="center"/>
          </w:tcPr>
          <w:p>
            <w:pPr>
              <w:spacing w:after="0" w:line="240" w:lineRule="auto"/>
            </w:pPr>
            <w:r>
              <w:rPr>
                <w:rFonts w:ascii="Calibri" w:hAnsi="Calibri"/>
                <w:sz w:val="18"/>
              </w:rPr>
              <w:t>Tradability and execution-quality context; fail closed when unavailable</w:t>
            </w:r>
          </w:p>
        </w:tc>
      </w:tr>
      <w:tr>
        <w:trPr>
          <w:cantSplit/>
        </w:trPr>
        <w:tc>
          <w:tcPr>
            <w:tcW w:type="dxa" w:w="1778"/>
            <w:tcMar>
              <w:top w:w="80" w:type="dxa"/>
              <w:start w:w="120" w:type="dxa"/>
              <w:bottom w:w="80" w:type="dxa"/>
              <w:end w:w="120" w:type="dxa"/>
            </w:tcMar>
            <w:vAlign w:val="center"/>
          </w:tcPr>
          <w:p>
            <w:pPr>
              <w:spacing w:after="0" w:line="240" w:lineRule="auto"/>
            </w:pPr>
            <w:r>
              <w:rPr>
                <w:rFonts w:ascii="Calibri" w:hAnsi="Calibri"/>
                <w:sz w:val="18"/>
              </w:rPr>
              <w:t>Options / volatility</w:t>
            </w:r>
          </w:p>
        </w:tc>
        <w:tc>
          <w:tcPr>
            <w:tcW w:type="dxa" w:w="4586"/>
            <w:tcMar>
              <w:top w:w="80" w:type="dxa"/>
              <w:start w:w="120" w:type="dxa"/>
              <w:bottom w:w="80" w:type="dxa"/>
              <w:end w:w="120" w:type="dxa"/>
            </w:tcMar>
            <w:vAlign w:val="center"/>
          </w:tcPr>
          <w:p>
            <w:pPr>
              <w:spacing w:after="0" w:line="240" w:lineRule="auto"/>
            </w:pPr>
            <w:r>
              <w:rPr>
                <w:rFonts w:ascii="Calibri" w:hAnsi="Calibri"/>
                <w:sz w:val="18"/>
              </w:rPr>
              <w:t>IV term/skew, quote coverage, OI change with availability time</w:t>
            </w:r>
          </w:p>
        </w:tc>
        <w:tc>
          <w:tcPr>
            <w:tcW w:type="dxa" w:w="2995"/>
            <w:tcMar>
              <w:top w:w="80" w:type="dxa"/>
              <w:start w:w="120" w:type="dxa"/>
              <w:bottom w:w="80" w:type="dxa"/>
              <w:end w:w="120" w:type="dxa"/>
            </w:tcMar>
            <w:vAlign w:val="center"/>
          </w:tcPr>
          <w:p>
            <w:pPr>
              <w:spacing w:after="0" w:line="240" w:lineRule="auto"/>
            </w:pPr>
            <w:r>
              <w:rPr>
                <w:rFonts w:ascii="Calibri" w:hAnsi="Calibri"/>
                <w:sz w:val="18"/>
              </w:rPr>
              <w:t>Scenario features only; no inferred dealer sign without named assumptions</w:t>
            </w:r>
          </w:p>
        </w:tc>
      </w:tr>
      <w:tr>
        <w:trPr>
          <w:cantSplit/>
        </w:trPr>
        <w:tc>
          <w:tcPr>
            <w:tcW w:type="dxa" w:w="1778"/>
            <w:tcMar>
              <w:top w:w="80" w:type="dxa"/>
              <w:start w:w="120" w:type="dxa"/>
              <w:bottom w:w="80" w:type="dxa"/>
              <w:end w:w="120" w:type="dxa"/>
            </w:tcMar>
            <w:vAlign w:val="center"/>
          </w:tcPr>
          <w:p>
            <w:pPr>
              <w:spacing w:after="0" w:line="240" w:lineRule="auto"/>
            </w:pPr>
            <w:r>
              <w:rPr>
                <w:rFonts w:ascii="Calibri" w:hAnsi="Calibri"/>
                <w:sz w:val="18"/>
              </w:rPr>
              <w:t>Catalyst state</w:t>
            </w:r>
          </w:p>
        </w:tc>
        <w:tc>
          <w:tcPr>
            <w:tcW w:type="dxa" w:w="4586"/>
            <w:tcMar>
              <w:top w:w="80" w:type="dxa"/>
              <w:start w:w="120" w:type="dxa"/>
              <w:bottom w:w="80" w:type="dxa"/>
              <w:end w:w="120" w:type="dxa"/>
            </w:tcMar>
            <w:vAlign w:val="center"/>
          </w:tcPr>
          <w:p>
            <w:pPr>
              <w:spacing w:after="0" w:line="240" w:lineRule="auto"/>
            </w:pPr>
            <w:r>
              <w:rPr>
                <w:rFonts w:ascii="Calibri" w:hAnsi="Calibri"/>
                <w:sz w:val="18"/>
              </w:rPr>
              <w:t>Point-in-time earnings, macro, filings and licensed news timestamps</w:t>
            </w:r>
          </w:p>
        </w:tc>
        <w:tc>
          <w:tcPr>
            <w:tcW w:type="dxa" w:w="2995"/>
            <w:tcMar>
              <w:top w:w="80" w:type="dxa"/>
              <w:start w:w="120" w:type="dxa"/>
              <w:bottom w:w="80" w:type="dxa"/>
              <w:end w:w="120" w:type="dxa"/>
            </w:tcMar>
            <w:vAlign w:val="center"/>
          </w:tcPr>
          <w:p>
            <w:pPr>
              <w:spacing w:after="0" w:line="240" w:lineRule="auto"/>
            </w:pPr>
            <w:r>
              <w:rPr>
                <w:rFonts w:ascii="Calibri" w:hAnsi="Calibri"/>
                <w:sz w:val="18"/>
              </w:rPr>
              <w:t>Event flag and lineage; display context unless separately validated as a feature</w:t>
            </w:r>
          </w:p>
        </w:tc>
      </w:tr>
      <w:tr>
        <w:trPr>
          <w:cantSplit/>
        </w:trPr>
        <w:tc>
          <w:tcPr>
            <w:tcW w:type="dxa" w:w="1778"/>
            <w:tcMar>
              <w:top w:w="80" w:type="dxa"/>
              <w:start w:w="120" w:type="dxa"/>
              <w:bottom w:w="80" w:type="dxa"/>
              <w:end w:w="120" w:type="dxa"/>
            </w:tcMar>
            <w:vAlign w:val="center"/>
          </w:tcPr>
          <w:p>
            <w:pPr>
              <w:spacing w:after="0" w:line="240" w:lineRule="auto"/>
            </w:pPr>
            <w:r>
              <w:rPr>
                <w:rFonts w:ascii="Calibri" w:hAnsi="Calibri"/>
                <w:sz w:val="18"/>
              </w:rPr>
              <w:t>Cross-asset confirmation</w:t>
            </w:r>
          </w:p>
        </w:tc>
        <w:tc>
          <w:tcPr>
            <w:tcW w:type="dxa" w:w="4586"/>
            <w:tcMar>
              <w:top w:w="80" w:type="dxa"/>
              <w:start w:w="120" w:type="dxa"/>
              <w:bottom w:w="80" w:type="dxa"/>
              <w:end w:w="120" w:type="dxa"/>
            </w:tcMar>
            <w:vAlign w:val="center"/>
          </w:tcPr>
          <w:p>
            <w:pPr>
              <w:spacing w:after="0" w:line="240" w:lineRule="auto"/>
            </w:pPr>
            <w:r>
              <w:rPr>
                <w:rFonts w:ascii="Calibri" w:hAnsi="Calibri"/>
                <w:sz w:val="18"/>
              </w:rPr>
              <w:t>Rates, dollar, credit, commodities, futures and volatility</w:t>
            </w:r>
          </w:p>
        </w:tc>
        <w:tc>
          <w:tcPr>
            <w:tcW w:type="dxa" w:w="2995"/>
            <w:tcMar>
              <w:top w:w="80" w:type="dxa"/>
              <w:start w:w="120" w:type="dxa"/>
              <w:bottom w:w="80" w:type="dxa"/>
              <w:end w:w="120" w:type="dxa"/>
            </w:tcMar>
            <w:vAlign w:val="center"/>
          </w:tcPr>
          <w:p>
            <w:pPr>
              <w:spacing w:after="0" w:line="240" w:lineRule="auto"/>
            </w:pPr>
            <w:r>
              <w:rPr>
                <w:rFonts w:ascii="Calibri" w:hAnsi="Calibri"/>
                <w:sz w:val="18"/>
              </w:rPr>
              <w:t>Confirmation/divergence score with observation cutoff</w:t>
            </w:r>
          </w:p>
        </w:tc>
      </w:tr>
    </w:tbl>
    <w:p>
      <w:pPr>
        <w:spacing w:after="0"/>
      </w:pPr>
    </w:p>
    <w:p>
      <w:pPr>
        <w:pStyle w:val="Heading2"/>
        <w:keepNext/>
        <w:pageBreakBefore w:val="0"/>
        <w:spacing w:before="240" w:after="120"/>
        <w:ind w:left="0" w:firstLine="0"/>
        <w:jc w:val="left"/>
      </w:pPr>
      <w:r>
        <w:t>20.3 Hierarchical model contract</w:t>
      </w:r>
    </w:p>
    <w:p>
      <w:pPr>
        <w:pStyle w:val="ListNumber"/>
        <w:spacing w:after="120"/>
        <w:ind w:left="720" w:hanging="360"/>
      </w:pPr>
      <w:r>
        <w:t>Estimate global market regime and uncertainty from causal cross-asset features.</w:t>
      </w:r>
    </w:p>
    <w:p>
      <w:pPr>
        <w:pStyle w:val="ListNumber"/>
        <w:spacing w:after="120"/>
        <w:ind w:left="720" w:hanging="360"/>
      </w:pPr>
      <w:r>
        <w:t>Estimate sector/cluster relative state conditional on the global regime.</w:t>
      </w:r>
    </w:p>
    <w:p>
      <w:pPr>
        <w:pStyle w:val="ListNumber"/>
        <w:spacing w:after="120"/>
        <w:ind w:left="720" w:hanging="360"/>
      </w:pPr>
      <w:r>
        <w:t>Rank constituents within each cluster using causal cross-sectional features and liquidity gates.</w:t>
      </w:r>
    </w:p>
    <w:p>
      <w:pPr>
        <w:pStyle w:val="ListNumber"/>
        <w:spacing w:after="120"/>
        <w:ind w:left="720" w:hanging="360"/>
      </w:pPr>
      <w:r>
        <w:t>Estimate persistence or transition risk by horizon; publish probabilities only from promoted calibration artifacts.</w:t>
      </w:r>
    </w:p>
    <w:p>
      <w:pPr>
        <w:pStyle w:val="ListNumber"/>
        <w:spacing w:after="120"/>
        <w:ind w:left="720" w:hanging="360"/>
      </w:pPr>
      <w:r>
        <w:t>Combine eligible weak models with frozen out-of-fold weights; correlated variants do not count as independent votes.</w:t>
      </w:r>
    </w:p>
    <w:p>
      <w:pPr>
        <w:pStyle w:val="ListNumber"/>
        <w:spacing w:after="120"/>
        <w:ind w:left="720" w:hanging="360"/>
      </w:pPr>
      <w:r>
        <w:t>Abstain when breadth is too narrow, taxonomy is stale, coverage is incomplete, history is short, or OOD is high.</w:t>
      </w:r>
    </w:p>
    <w:p>
      <w:pPr>
        <w:pStyle w:val="Heading2"/>
        <w:keepNext/>
        <w:pageBreakBefore w:val="0"/>
        <w:spacing w:before="240" w:after="120"/>
        <w:ind w:left="0" w:firstLine="0"/>
        <w:jc w:val="left"/>
      </w:pPr>
      <w:r>
        <w:t>20.4 Rotation evaluation</w:t>
      </w:r>
    </w:p>
    <w:p>
      <w:pPr>
        <w:pStyle w:val="ListBullet"/>
        <w:spacing w:after="120"/>
        <w:ind w:left="720" w:hanging="360"/>
      </w:pPr>
      <w:r>
        <w:t>Primary baselines: equal-weight/no-change, previous-period leader persistence, simple residual momentum, and regularized cross-sectional ridge/logistic models.</w:t>
      </w:r>
    </w:p>
    <w:p>
      <w:pPr>
        <w:pStyle w:val="ListBullet"/>
        <w:spacing w:after="120"/>
        <w:ind w:left="720" w:hanging="360"/>
      </w:pPr>
      <w:r>
        <w:t>Metrics: rank IC and IC information ratio, top-minus-bottom research spread after stated costs, top-k precision, turnover, drawdown/tail loss, Brier/log loss for transitions, and calibration error where probabilities are promoted.</w:t>
      </w:r>
    </w:p>
    <w:p>
      <w:pPr>
        <w:pStyle w:val="ListBullet"/>
        <w:spacing w:after="120"/>
        <w:ind w:left="720" w:hanging="360"/>
      </w:pPr>
      <w:r>
        <w:t>Validation: purged walk-forward splits, point-in-time constituents, embargo for overlapping horizons, untouched final block, cost/latency stress, and forward shadow.</w:t>
      </w:r>
    </w:p>
    <w:p>
      <w:pPr>
        <w:pStyle w:val="ListBullet"/>
        <w:spacing w:after="120"/>
        <w:ind w:left="720" w:hanging="360"/>
      </w:pPr>
      <w:r>
        <w:t>Required slices: market regime, sector, cluster, horizon, volatility, liquidity, breadth concentration, earnings/macro event windows, and security-history length.</w:t>
      </w:r>
    </w:p>
    <w:p>
      <w:pPr>
        <w:pStyle w:val="ListBullet"/>
        <w:spacing w:after="120"/>
        <w:ind w:left="720" w:hanging="360"/>
      </w:pPr>
      <w:r>
        <w:t>Promotion requires stable incremental OOS skill over the strongest simple baseline; a visually plausible heat map is not evidence.</w:t>
      </w:r>
    </w:p>
    <w:p>
      <w:pPr>
        <w:pStyle w:val="Heading1"/>
        <w:keepNext/>
        <w:pageBreakBefore w:val="0"/>
        <w:spacing w:before="320" w:after="160"/>
        <w:ind w:left="0" w:firstLine="0"/>
        <w:jc w:val="left"/>
      </w:pPr>
      <w:r>
        <w:t>21. AWS Data and Persistence Architecture</w:t>
      </w:r>
    </w:p>
    <w:p>
      <w:pPr/>
      <w:r>
        <w:t>Historical and realtime evidence must be durable, queryable, replayable, and separated by purpose. AWS is the initial deployment target, but data contracts remain cloud-portable. The practical MVP uses the existing compute footprint plus S3, PostgreSQL, CloudWatch, and managed secrets; streaming and batch services are added only when measured load requires them.</w:t>
      </w:r>
    </w:p>
    <w:p>
      <w:pPr>
        <w:pStyle w:val="Heading2"/>
        <w:keepNext/>
        <w:pageBreakBefore w:val="0"/>
        <w:spacing w:before="240" w:after="120"/>
        <w:ind w:left="0" w:firstLine="0"/>
        <w:jc w:val="left"/>
      </w:pPr>
      <w:r>
        <w:t>21.1 Target data plane</w:t>
      </w:r>
    </w:p>
    <w:tbl>
      <w:tblPr>
        <w:tblW w:type="dxa" w:w="9360"/>
        <w:jc w:val="center"/>
        <w:tblLayout w:type="fixed"/>
        <w:tblLook w:firstColumn="1" w:firstRow="1" w:lastColumn="0" w:lastRow="0" w:noHBand="0" w:noVBand="1" w:val="04A0"/>
      </w:tblPr>
      <w:tblGrid>
        <w:gridCol w:w="1685"/>
        <w:gridCol w:w="2621"/>
        <w:gridCol w:w="5054"/>
      </w:tblGrid>
      <w:tr>
        <w:trPr>
          <w:tblHeader w:val="true"/>
          <w:cantSplit/>
        </w:trPr>
        <w:tc>
          <w:tcPr>
            <w:tcW w:type="dxa" w:w="1685"/>
            <w:tcMar>
              <w:top w:w="80" w:type="dxa"/>
              <w:start w:w="120" w:type="dxa"/>
              <w:bottom w:w="80" w:type="dxa"/>
              <w:end w:w="120" w:type="dxa"/>
            </w:tcMar>
            <w:vAlign w:val="center"/>
            <w:shd w:fill="F2F4F7"/>
          </w:tcPr>
          <w:p>
            <w:pPr>
              <w:spacing w:after="0" w:line="240" w:lineRule="auto"/>
            </w:pPr>
            <w:r>
              <w:rPr>
                <w:rFonts w:ascii="Calibri" w:hAnsi="Calibri"/>
                <w:b/>
                <w:color w:val="1F4D78"/>
                <w:sz w:val="18"/>
              </w:rPr>
              <w:t>Layer</w:t>
            </w:r>
          </w:p>
        </w:tc>
        <w:tc>
          <w:tcPr>
            <w:tcW w:type="dxa" w:w="2621"/>
            <w:tcMar>
              <w:top w:w="80" w:type="dxa"/>
              <w:start w:w="120" w:type="dxa"/>
              <w:bottom w:w="80" w:type="dxa"/>
              <w:end w:w="120" w:type="dxa"/>
            </w:tcMar>
            <w:vAlign w:val="center"/>
            <w:shd w:fill="F2F4F7"/>
          </w:tcPr>
          <w:p>
            <w:pPr>
              <w:spacing w:after="0" w:line="240" w:lineRule="auto"/>
            </w:pPr>
            <w:r>
              <w:rPr>
                <w:rFonts w:ascii="Calibri" w:hAnsi="Calibri"/>
                <w:b/>
                <w:color w:val="1F4D78"/>
                <w:sz w:val="18"/>
              </w:rPr>
              <w:t>AWS service / store</w:t>
            </w:r>
          </w:p>
        </w:tc>
        <w:tc>
          <w:tcPr>
            <w:tcW w:type="dxa" w:w="5054"/>
            <w:tcMar>
              <w:top w:w="80" w:type="dxa"/>
              <w:start w:w="120" w:type="dxa"/>
              <w:bottom w:w="80" w:type="dxa"/>
              <w:end w:w="120" w:type="dxa"/>
            </w:tcMar>
            <w:vAlign w:val="center"/>
            <w:shd w:fill="F2F4F7"/>
          </w:tcPr>
          <w:p>
            <w:pPr>
              <w:spacing w:after="0" w:line="240" w:lineRule="auto"/>
            </w:pPr>
            <w:r>
              <w:rPr>
                <w:rFonts w:ascii="Calibri" w:hAnsi="Calibri"/>
                <w:b/>
                <w:color w:val="1F4D78"/>
                <w:sz w:val="18"/>
              </w:rPr>
              <w:t>Responsibility and invariant</w:t>
            </w:r>
          </w:p>
        </w:tc>
      </w:tr>
      <w:tr>
        <w:trPr>
          <w:cantSplit/>
        </w:trPr>
        <w:tc>
          <w:tcPr>
            <w:tcW w:type="dxa" w:w="1685"/>
            <w:tcMar>
              <w:top w:w="80" w:type="dxa"/>
              <w:start w:w="120" w:type="dxa"/>
              <w:bottom w:w="80" w:type="dxa"/>
              <w:end w:w="120" w:type="dxa"/>
            </w:tcMar>
            <w:vAlign w:val="center"/>
          </w:tcPr>
          <w:p>
            <w:pPr>
              <w:spacing w:after="0" w:line="240" w:lineRule="auto"/>
            </w:pPr>
            <w:r>
              <w:rPr>
                <w:rFonts w:ascii="Calibri" w:hAnsi="Calibri"/>
                <w:sz w:val="18"/>
              </w:rPr>
              <w:t>Realtime ingest</w:t>
            </w:r>
          </w:p>
        </w:tc>
        <w:tc>
          <w:tcPr>
            <w:tcW w:type="dxa" w:w="2621"/>
            <w:tcMar>
              <w:top w:w="80" w:type="dxa"/>
              <w:start w:w="120" w:type="dxa"/>
              <w:bottom w:w="80" w:type="dxa"/>
              <w:end w:w="120" w:type="dxa"/>
            </w:tcMar>
            <w:vAlign w:val="center"/>
          </w:tcPr>
          <w:p>
            <w:pPr>
              <w:spacing w:after="0" w:line="240" w:lineRule="auto"/>
            </w:pPr>
            <w:r>
              <w:rPr>
                <w:rFonts w:ascii="Calibri" w:hAnsi="Calibri"/>
                <w:sz w:val="18"/>
              </w:rPr>
              <w:t>Existing EC2 or ECS/Fargate Rust service</w:t>
            </w:r>
          </w:p>
        </w:tc>
        <w:tc>
          <w:tcPr>
            <w:tcW w:type="dxa" w:w="5054"/>
            <w:tcMar>
              <w:top w:w="80" w:type="dxa"/>
              <w:start w:w="120" w:type="dxa"/>
              <w:bottom w:w="80" w:type="dxa"/>
              <w:end w:w="120" w:type="dxa"/>
            </w:tcMar>
            <w:vAlign w:val="center"/>
          </w:tcPr>
          <w:p>
            <w:pPr>
              <w:spacing w:after="0" w:line="240" w:lineRule="auto"/>
            </w:pPr>
            <w:r>
              <w:rPr>
                <w:rFonts w:ascii="Calibri" w:hAnsi="Calibri"/>
                <w:sz w:val="18"/>
              </w:rPr>
              <w:t>Vendor adapters, entitlement checks, sequence validation, event/availability timestamps; no client-side keys</w:t>
            </w:r>
          </w:p>
        </w:tc>
      </w:tr>
      <w:tr>
        <w:trPr>
          <w:cantSplit/>
        </w:trPr>
        <w:tc>
          <w:tcPr>
            <w:tcW w:type="dxa" w:w="1685"/>
            <w:tcMar>
              <w:top w:w="80" w:type="dxa"/>
              <w:start w:w="120" w:type="dxa"/>
              <w:bottom w:w="80" w:type="dxa"/>
              <w:end w:w="120" w:type="dxa"/>
            </w:tcMar>
            <w:vAlign w:val="center"/>
          </w:tcPr>
          <w:p>
            <w:pPr>
              <w:spacing w:after="0" w:line="240" w:lineRule="auto"/>
            </w:pPr>
            <w:r>
              <w:rPr>
                <w:rFonts w:ascii="Calibri" w:hAnsi="Calibri"/>
                <w:sz w:val="18"/>
              </w:rPr>
              <w:t>Buffer / replay</w:t>
            </w:r>
          </w:p>
        </w:tc>
        <w:tc>
          <w:tcPr>
            <w:tcW w:type="dxa" w:w="2621"/>
            <w:tcMar>
              <w:top w:w="80" w:type="dxa"/>
              <w:start w:w="120" w:type="dxa"/>
              <w:bottom w:w="80" w:type="dxa"/>
              <w:end w:w="120" w:type="dxa"/>
            </w:tcMar>
            <w:vAlign w:val="center"/>
          </w:tcPr>
          <w:p>
            <w:pPr>
              <w:spacing w:after="0" w:line="240" w:lineRule="auto"/>
            </w:pPr>
            <w:r>
              <w:rPr>
                <w:rFonts w:ascii="Calibri" w:hAnsi="Calibri"/>
                <w:sz w:val="18"/>
              </w:rPr>
              <w:t>SQS initially; Kinesis/MSK only at justified scale</w:t>
            </w:r>
          </w:p>
        </w:tc>
        <w:tc>
          <w:tcPr>
            <w:tcW w:type="dxa" w:w="5054"/>
            <w:tcMar>
              <w:top w:w="80" w:type="dxa"/>
              <w:start w:w="120" w:type="dxa"/>
              <w:bottom w:w="80" w:type="dxa"/>
              <w:end w:w="120" w:type="dxa"/>
            </w:tcMar>
            <w:vAlign w:val="center"/>
          </w:tcPr>
          <w:p>
            <w:pPr>
              <w:spacing w:after="0" w:line="240" w:lineRule="auto"/>
            </w:pPr>
            <w:r>
              <w:rPr>
                <w:rFonts w:ascii="Calibri" w:hAnsi="Calibri"/>
                <w:sz w:val="18"/>
              </w:rPr>
              <w:t>Backpressure, retry and dead-letter handling with idempotency keys</w:t>
            </w:r>
          </w:p>
        </w:tc>
      </w:tr>
      <w:tr>
        <w:trPr>
          <w:cantSplit/>
        </w:trPr>
        <w:tc>
          <w:tcPr>
            <w:tcW w:type="dxa" w:w="1685"/>
            <w:tcMar>
              <w:top w:w="80" w:type="dxa"/>
              <w:start w:w="120" w:type="dxa"/>
              <w:bottom w:w="80" w:type="dxa"/>
              <w:end w:w="120" w:type="dxa"/>
            </w:tcMar>
            <w:vAlign w:val="center"/>
          </w:tcPr>
          <w:p>
            <w:pPr>
              <w:spacing w:after="0" w:line="240" w:lineRule="auto"/>
            </w:pPr>
            <w:r>
              <w:rPr>
                <w:rFonts w:ascii="Calibri" w:hAnsi="Calibri"/>
                <w:sz w:val="18"/>
              </w:rPr>
              <w:t>Immutable history</w:t>
            </w:r>
          </w:p>
        </w:tc>
        <w:tc>
          <w:tcPr>
            <w:tcW w:type="dxa" w:w="2621"/>
            <w:tcMar>
              <w:top w:w="80" w:type="dxa"/>
              <w:start w:w="120" w:type="dxa"/>
              <w:bottom w:w="80" w:type="dxa"/>
              <w:end w:w="120" w:type="dxa"/>
            </w:tcMar>
            <w:vAlign w:val="center"/>
          </w:tcPr>
          <w:p>
            <w:pPr>
              <w:spacing w:after="0" w:line="240" w:lineRule="auto"/>
            </w:pPr>
            <w:r>
              <w:rPr>
                <w:rFonts w:ascii="Calibri" w:hAnsi="Calibri"/>
                <w:sz w:val="18"/>
              </w:rPr>
              <w:t>S3 + Parquet + KMS</w:t>
            </w:r>
          </w:p>
        </w:tc>
        <w:tc>
          <w:tcPr>
            <w:tcW w:type="dxa" w:w="5054"/>
            <w:tcMar>
              <w:top w:w="80" w:type="dxa"/>
              <w:start w:w="120" w:type="dxa"/>
              <w:bottom w:w="80" w:type="dxa"/>
              <w:end w:w="120" w:type="dxa"/>
            </w:tcMar>
            <w:vAlign w:val="center"/>
          </w:tcPr>
          <w:p>
            <w:pPr>
              <w:spacing w:after="0" w:line="240" w:lineRule="auto"/>
            </w:pPr>
            <w:r>
              <w:rPr>
                <w:rFonts w:ascii="Calibri" w:hAnsi="Calibri"/>
                <w:sz w:val="18"/>
              </w:rPr>
              <w:t>Raw manifests, normalized bars, feature snapshots, artifacts, evaluation outputs; append-only partitions</w:t>
            </w:r>
          </w:p>
        </w:tc>
      </w:tr>
      <w:tr>
        <w:trPr>
          <w:cantSplit/>
        </w:trPr>
        <w:tc>
          <w:tcPr>
            <w:tcW w:type="dxa" w:w="1685"/>
            <w:tcMar>
              <w:top w:w="80" w:type="dxa"/>
              <w:start w:w="120" w:type="dxa"/>
              <w:bottom w:w="80" w:type="dxa"/>
              <w:end w:w="120" w:type="dxa"/>
            </w:tcMar>
            <w:vAlign w:val="center"/>
          </w:tcPr>
          <w:p>
            <w:pPr>
              <w:spacing w:after="0" w:line="240" w:lineRule="auto"/>
            </w:pPr>
            <w:r>
              <w:rPr>
                <w:rFonts w:ascii="Calibri" w:hAnsi="Calibri"/>
                <w:sz w:val="18"/>
              </w:rPr>
              <w:t>Operational metadata</w:t>
            </w:r>
          </w:p>
        </w:tc>
        <w:tc>
          <w:tcPr>
            <w:tcW w:type="dxa" w:w="2621"/>
            <w:tcMar>
              <w:top w:w="80" w:type="dxa"/>
              <w:start w:w="120" w:type="dxa"/>
              <w:bottom w:w="80" w:type="dxa"/>
              <w:end w:w="120" w:type="dxa"/>
            </w:tcMar>
            <w:vAlign w:val="center"/>
          </w:tcPr>
          <w:p>
            <w:pPr>
              <w:spacing w:after="0" w:line="240" w:lineRule="auto"/>
            </w:pPr>
            <w:r>
              <w:rPr>
                <w:rFonts w:ascii="Calibri" w:hAnsi="Calibri"/>
                <w:sz w:val="18"/>
              </w:rPr>
              <w:t>RDS/Aurora PostgreSQL</w:t>
            </w:r>
          </w:p>
        </w:tc>
        <w:tc>
          <w:tcPr>
            <w:tcW w:type="dxa" w:w="5054"/>
            <w:tcMar>
              <w:top w:w="80" w:type="dxa"/>
              <w:start w:w="120" w:type="dxa"/>
              <w:bottom w:w="80" w:type="dxa"/>
              <w:end w:w="120" w:type="dxa"/>
            </w:tcMar>
            <w:vAlign w:val="center"/>
          </w:tcPr>
          <w:p>
            <w:pPr>
              <w:spacing w:after="0" w:line="240" w:lineRule="auto"/>
            </w:pPr>
            <w:r>
              <w:rPr>
                <w:rFonts w:ascii="Calibri" w:hAnsi="Calibri"/>
                <w:sz w:val="18"/>
              </w:rPr>
              <w:t>Symbol master, PIT taxonomy, model registry, prediction ledger, outcomes, monitors, query/result indexes</w:t>
            </w:r>
          </w:p>
        </w:tc>
      </w:tr>
      <w:tr>
        <w:trPr>
          <w:cantSplit/>
        </w:trPr>
        <w:tc>
          <w:tcPr>
            <w:tcW w:type="dxa" w:w="1685"/>
            <w:tcMar>
              <w:top w:w="80" w:type="dxa"/>
              <w:start w:w="120" w:type="dxa"/>
              <w:bottom w:w="80" w:type="dxa"/>
              <w:end w:w="120" w:type="dxa"/>
            </w:tcMar>
            <w:vAlign w:val="center"/>
          </w:tcPr>
          <w:p>
            <w:pPr>
              <w:spacing w:after="0" w:line="240" w:lineRule="auto"/>
            </w:pPr>
            <w:r>
              <w:rPr>
                <w:rFonts w:ascii="Calibri" w:hAnsi="Calibri"/>
                <w:sz w:val="18"/>
              </w:rPr>
              <w:t>Hot cache</w:t>
            </w:r>
          </w:p>
        </w:tc>
        <w:tc>
          <w:tcPr>
            <w:tcW w:type="dxa" w:w="2621"/>
            <w:tcMar>
              <w:top w:w="80" w:type="dxa"/>
              <w:start w:w="120" w:type="dxa"/>
              <w:bottom w:w="80" w:type="dxa"/>
              <w:end w:w="120" w:type="dxa"/>
            </w:tcMar>
            <w:vAlign w:val="center"/>
          </w:tcPr>
          <w:p>
            <w:pPr>
              <w:spacing w:after="0" w:line="240" w:lineRule="auto"/>
            </w:pPr>
            <w:r>
              <w:rPr>
                <w:rFonts w:ascii="Calibri" w:hAnsi="Calibri"/>
                <w:sz w:val="18"/>
              </w:rPr>
              <w:t>ElastiCache Redis (optional)</w:t>
            </w:r>
          </w:p>
        </w:tc>
        <w:tc>
          <w:tcPr>
            <w:tcW w:type="dxa" w:w="5054"/>
            <w:tcMar>
              <w:top w:w="80" w:type="dxa"/>
              <w:start w:w="120" w:type="dxa"/>
              <w:bottom w:w="80" w:type="dxa"/>
              <w:end w:w="120" w:type="dxa"/>
            </w:tcMar>
            <w:vAlign w:val="center"/>
          </w:tcPr>
          <w:p>
            <w:pPr>
              <w:spacing w:after="0" w:line="240" w:lineRule="auto"/>
            </w:pPr>
            <w:r>
              <w:rPr>
                <w:rFonts w:ascii="Calibri" w:hAnsi="Calibri"/>
                <w:sz w:val="18"/>
              </w:rPr>
              <w:t>Latest health/result cache only; never the source of truth</w:t>
            </w:r>
          </w:p>
        </w:tc>
      </w:tr>
      <w:tr>
        <w:trPr>
          <w:cantSplit/>
        </w:trPr>
        <w:tc>
          <w:tcPr>
            <w:tcW w:type="dxa" w:w="1685"/>
            <w:tcMar>
              <w:top w:w="80" w:type="dxa"/>
              <w:start w:w="120" w:type="dxa"/>
              <w:bottom w:w="80" w:type="dxa"/>
              <w:end w:w="120" w:type="dxa"/>
            </w:tcMar>
            <w:vAlign w:val="center"/>
          </w:tcPr>
          <w:p>
            <w:pPr>
              <w:spacing w:after="0" w:line="240" w:lineRule="auto"/>
            </w:pPr>
            <w:r>
              <w:rPr>
                <w:rFonts w:ascii="Calibri" w:hAnsi="Calibri"/>
                <w:sz w:val="18"/>
              </w:rPr>
              <w:t>Offline training</w:t>
            </w:r>
          </w:p>
        </w:tc>
        <w:tc>
          <w:tcPr>
            <w:tcW w:type="dxa" w:w="2621"/>
            <w:tcMar>
              <w:top w:w="80" w:type="dxa"/>
              <w:start w:w="120" w:type="dxa"/>
              <w:bottom w:w="80" w:type="dxa"/>
              <w:end w:w="120" w:type="dxa"/>
            </w:tcMar>
            <w:vAlign w:val="center"/>
          </w:tcPr>
          <w:p>
            <w:pPr>
              <w:spacing w:after="0" w:line="240" w:lineRule="auto"/>
            </w:pPr>
            <w:r>
              <w:rPr>
                <w:rFonts w:ascii="Calibri" w:hAnsi="Calibri"/>
                <w:sz w:val="18"/>
              </w:rPr>
              <w:t>AWS Batch/Step Functions on scheduled or approved runs</w:t>
            </w:r>
          </w:p>
        </w:tc>
        <w:tc>
          <w:tcPr>
            <w:tcW w:type="dxa" w:w="5054"/>
            <w:tcMar>
              <w:top w:w="80" w:type="dxa"/>
              <w:start w:w="120" w:type="dxa"/>
              <w:bottom w:w="80" w:type="dxa"/>
              <w:end w:w="120" w:type="dxa"/>
            </w:tcMar>
            <w:vAlign w:val="center"/>
          </w:tcPr>
          <w:p>
            <w:pPr>
              <w:spacing w:after="0" w:line="240" w:lineRule="auto"/>
            </w:pPr>
            <w:r>
              <w:rPr>
                <w:rFonts w:ascii="Calibri" w:hAnsi="Calibri"/>
                <w:sz w:val="18"/>
              </w:rPr>
              <w:t>Point-in-time dataset assembly, walk-forward training, evaluation and immutable artifact export</w:t>
            </w:r>
          </w:p>
        </w:tc>
      </w:tr>
      <w:tr>
        <w:trPr>
          <w:cantSplit/>
        </w:trPr>
        <w:tc>
          <w:tcPr>
            <w:tcW w:type="dxa" w:w="1685"/>
            <w:tcMar>
              <w:top w:w="80" w:type="dxa"/>
              <w:start w:w="120" w:type="dxa"/>
              <w:bottom w:w="80" w:type="dxa"/>
              <w:end w:w="120" w:type="dxa"/>
            </w:tcMar>
            <w:vAlign w:val="center"/>
          </w:tcPr>
          <w:p>
            <w:pPr>
              <w:spacing w:after="0" w:line="240" w:lineRule="auto"/>
            </w:pPr>
            <w:r>
              <w:rPr>
                <w:rFonts w:ascii="Calibri" w:hAnsi="Calibri"/>
                <w:sz w:val="18"/>
              </w:rPr>
              <w:t>Catalog / audit</w:t>
            </w:r>
          </w:p>
        </w:tc>
        <w:tc>
          <w:tcPr>
            <w:tcW w:type="dxa" w:w="2621"/>
            <w:tcMar>
              <w:top w:w="80" w:type="dxa"/>
              <w:start w:w="120" w:type="dxa"/>
              <w:bottom w:w="80" w:type="dxa"/>
              <w:end w:w="120" w:type="dxa"/>
            </w:tcMar>
            <w:vAlign w:val="center"/>
          </w:tcPr>
          <w:p>
            <w:pPr>
              <w:spacing w:after="0" w:line="240" w:lineRule="auto"/>
            </w:pPr>
            <w:r>
              <w:rPr>
                <w:rFonts w:ascii="Calibri" w:hAnsi="Calibri"/>
                <w:sz w:val="18"/>
              </w:rPr>
              <w:t>Glue Catalog + Athena when needed</w:t>
            </w:r>
          </w:p>
        </w:tc>
        <w:tc>
          <w:tcPr>
            <w:tcW w:type="dxa" w:w="5054"/>
            <w:tcMar>
              <w:top w:w="80" w:type="dxa"/>
              <w:start w:w="120" w:type="dxa"/>
              <w:bottom w:w="80" w:type="dxa"/>
              <w:end w:w="120" w:type="dxa"/>
            </w:tcMar>
            <w:vAlign w:val="center"/>
          </w:tcPr>
          <w:p>
            <w:pPr>
              <w:spacing w:after="0" w:line="240" w:lineRule="auto"/>
            </w:pPr>
            <w:r>
              <w:rPr>
                <w:rFonts w:ascii="Calibri" w:hAnsi="Calibri"/>
                <w:sz w:val="18"/>
              </w:rPr>
              <w:t>Schema discovery, lineage queries, completeness audits and cost-controlled exploration</w:t>
            </w:r>
          </w:p>
        </w:tc>
      </w:tr>
      <w:tr>
        <w:trPr>
          <w:cantSplit/>
        </w:trPr>
        <w:tc>
          <w:tcPr>
            <w:tcW w:type="dxa" w:w="1685"/>
            <w:tcMar>
              <w:top w:w="80" w:type="dxa"/>
              <w:start w:w="120" w:type="dxa"/>
              <w:bottom w:w="80" w:type="dxa"/>
              <w:end w:w="120" w:type="dxa"/>
            </w:tcMar>
            <w:vAlign w:val="center"/>
          </w:tcPr>
          <w:p>
            <w:pPr>
              <w:spacing w:after="0" w:line="240" w:lineRule="auto"/>
            </w:pPr>
            <w:r>
              <w:rPr>
                <w:rFonts w:ascii="Calibri" w:hAnsi="Calibri"/>
                <w:sz w:val="18"/>
              </w:rPr>
              <w:t>Delivery</w:t>
            </w:r>
          </w:p>
        </w:tc>
        <w:tc>
          <w:tcPr>
            <w:tcW w:type="dxa" w:w="2621"/>
            <w:tcMar>
              <w:top w:w="80" w:type="dxa"/>
              <w:start w:w="120" w:type="dxa"/>
              <w:bottom w:w="80" w:type="dxa"/>
              <w:end w:w="120" w:type="dxa"/>
            </w:tcMar>
            <w:vAlign w:val="center"/>
          </w:tcPr>
          <w:p>
            <w:pPr>
              <w:spacing w:after="0" w:line="240" w:lineRule="auto"/>
            </w:pPr>
            <w:r>
              <w:rPr>
                <w:rFonts w:ascii="Calibri" w:hAnsi="Calibri"/>
                <w:sz w:val="18"/>
              </w:rPr>
              <w:t>ECR + EC2/ECS deployment</w:t>
            </w:r>
          </w:p>
        </w:tc>
        <w:tc>
          <w:tcPr>
            <w:tcW w:type="dxa" w:w="5054"/>
            <w:tcMar>
              <w:top w:w="80" w:type="dxa"/>
              <w:start w:w="120" w:type="dxa"/>
              <w:bottom w:w="80" w:type="dxa"/>
              <w:end w:w="120" w:type="dxa"/>
            </w:tcMar>
            <w:vAlign w:val="center"/>
          </w:tcPr>
          <w:p>
            <w:pPr>
              <w:spacing w:after="0" w:line="240" w:lineRule="auto"/>
            </w:pPr>
            <w:r>
              <w:rPr>
                <w:rFonts w:ascii="Calibri" w:hAnsi="Calibri"/>
                <w:sz w:val="18"/>
              </w:rPr>
              <w:t>Pinned image digest, environment-specific config, canary/rollback; automatic execution disabled</w:t>
            </w:r>
          </w:p>
        </w:tc>
      </w:tr>
      <w:tr>
        <w:trPr>
          <w:cantSplit/>
        </w:trPr>
        <w:tc>
          <w:tcPr>
            <w:tcW w:type="dxa" w:w="1685"/>
            <w:tcMar>
              <w:top w:w="80" w:type="dxa"/>
              <w:start w:w="120" w:type="dxa"/>
              <w:bottom w:w="80" w:type="dxa"/>
              <w:end w:w="120" w:type="dxa"/>
            </w:tcMar>
            <w:vAlign w:val="center"/>
          </w:tcPr>
          <w:p>
            <w:pPr>
              <w:spacing w:after="0" w:line="240" w:lineRule="auto"/>
            </w:pPr>
            <w:r>
              <w:rPr>
                <w:rFonts w:ascii="Calibri" w:hAnsi="Calibri"/>
                <w:sz w:val="18"/>
              </w:rPr>
              <w:t>Operations</w:t>
            </w:r>
          </w:p>
        </w:tc>
        <w:tc>
          <w:tcPr>
            <w:tcW w:type="dxa" w:w="2621"/>
            <w:tcMar>
              <w:top w:w="80" w:type="dxa"/>
              <w:start w:w="120" w:type="dxa"/>
              <w:bottom w:w="80" w:type="dxa"/>
              <w:end w:w="120" w:type="dxa"/>
            </w:tcMar>
            <w:vAlign w:val="center"/>
          </w:tcPr>
          <w:p>
            <w:pPr>
              <w:spacing w:after="0" w:line="240" w:lineRule="auto"/>
            </w:pPr>
            <w:r>
              <w:rPr>
                <w:rFonts w:ascii="Calibri" w:hAnsi="Calibri"/>
                <w:sz w:val="18"/>
              </w:rPr>
              <w:t>CloudWatch, SNS, CloudTrail, Secrets Manager, IAM</w:t>
            </w:r>
          </w:p>
        </w:tc>
        <w:tc>
          <w:tcPr>
            <w:tcW w:type="dxa" w:w="5054"/>
            <w:tcMar>
              <w:top w:w="80" w:type="dxa"/>
              <w:start w:w="120" w:type="dxa"/>
              <w:bottom w:w="80" w:type="dxa"/>
              <w:end w:w="120" w:type="dxa"/>
            </w:tcMar>
            <w:vAlign w:val="center"/>
          </w:tcPr>
          <w:p>
            <w:pPr>
              <w:spacing w:after="0" w:line="240" w:lineRule="auto"/>
            </w:pPr>
            <w:r>
              <w:rPr>
                <w:rFonts w:ascii="Calibri" w:hAnsi="Calibri"/>
                <w:sz w:val="18"/>
              </w:rPr>
              <w:t>SLOs, incidents, credential rotation, least privilege and audited access</w:t>
            </w:r>
          </w:p>
        </w:tc>
      </w:tr>
    </w:tbl>
    <w:p>
      <w:pPr>
        <w:spacing w:after="0"/>
      </w:pPr>
    </w:p>
    <w:p>
      <w:pPr>
        <w:pStyle w:val="Heading2"/>
        <w:keepNext/>
        <w:pageBreakBefore w:val="0"/>
        <w:spacing w:before="240" w:after="120"/>
        <w:ind w:left="0" w:firstLine="0"/>
        <w:jc w:val="left"/>
      </w:pPr>
      <w:r>
        <w:t>21.2 Storage layout and time semantics</w:t>
      </w:r>
    </w:p>
    <w:tbl>
      <w:tblPr>
        <w:tblW w:type="dxa" w:w="9360"/>
        <w:jc w:val="center"/>
        <w:tblLayout w:type="fixed"/>
        <w:tblLook w:firstColumn="1" w:firstRow="1" w:lastColumn="0" w:lastRow="0" w:noHBand="0" w:noVBand="1" w:val="04A0"/>
      </w:tblPr>
      <w:tblGrid>
        <w:gridCol w:w="9360"/>
      </w:tblGrid>
      <w:tr>
        <w:trPr>
          <w:cantSplit/>
        </w:trPr>
        <w:tc>
          <w:tcPr>
            <w:tcW w:type="dxa" w:w="9360"/>
            <w:shd w:fill="F2F4F7"/>
            <w:tcMar>
              <w:top w:w="80" w:type="dxa"/>
              <w:start w:w="120" w:type="dxa"/>
              <w:bottom w:w="80" w:type="dxa"/>
              <w:end w:w="120" w:type="dxa"/>
            </w:tcMar>
            <w:vAlign w:val="center"/>
          </w:tcPr>
          <w:p>
            <w:pPr>
              <w:spacing w:after="0"/>
            </w:pPr>
            <w:r>
              <w:rPr>
                <w:rFonts w:ascii="Consolas" w:hAnsi="Consolas"/>
                <w:sz w:val="17"/>
              </w:rPr>
              <w:t>s3://&lt;bucket&gt;/raw/provider=&lt;p&gt;/dataset=&lt;d&gt;/event_date=&lt;YYYY-MM-DD&gt;/part-*.parquet</w:t>
              <w:br/>
            </w:r>
            <w:r>
              <w:rPr>
                <w:rFonts w:ascii="Consolas" w:hAnsi="Consolas"/>
                <w:sz w:val="17"/>
              </w:rPr>
              <w:t>s3://&lt;bucket&gt;/normalized/schema=&lt;v&gt;/symbol=&lt;instrument_id&gt;/event_date=&lt;date&gt;/part-*.parquet</w:t>
              <w:br/>
            </w:r>
            <w:r>
              <w:rPr>
                <w:rFonts w:ascii="Consolas" w:hAnsi="Consolas"/>
                <w:sz w:val="17"/>
              </w:rPr>
              <w:t>s3://&lt;bucket&gt;/features/feature_set=&lt;v&gt;/symbol=&lt;instrument_id&gt;/cutoff_date=&lt;date&gt;/part-*.parquet</w:t>
              <w:br/>
            </w:r>
            <w:r>
              <w:rPr>
                <w:rFonts w:ascii="Consolas" w:hAnsi="Consolas"/>
                <w:sz w:val="17"/>
              </w:rPr>
              <w:t>s3://&lt;bucket&gt;/artifacts/model=&lt;id&gt;/version=&lt;immutable_version&gt;/...</w:t>
              <w:br/>
            </w:r>
            <w:r>
              <w:rPr>
                <w:rFonts w:ascii="Consolas" w:hAnsi="Consolas"/>
                <w:sz w:val="17"/>
              </w:rPr>
              <w:t>s3://&lt;bucket&gt;/evaluation/run_id=&lt;id&gt;/...</w:t>
              <w:br/>
            </w:r>
            <w:r>
              <w:rPr>
                <w:rFonts w:ascii="Consolas" w:hAnsi="Consolas"/>
                <w:sz w:val="17"/>
              </w:rPr>
              <w:t>Required clocks: event_ts, vendor_ts, received_ts, available_ts, ingest_ts, finalized_ts, cutoff_ts, published_ts</w:t>
            </w:r>
          </w:p>
        </w:tc>
      </w:tr>
    </w:tbl>
    <w:p>
      <w:pPr>
        <w:spacing w:after="0"/>
      </w:pPr>
    </w:p>
    <w:p>
      <w:pPr/>
      <w:r>
        <w:rPr>
          <w:b/>
          <w:color w:val="1F4D78"/>
        </w:rPr>
        <w:t>PARTITION RULE</w:t>
      </w:r>
      <w:r>
        <w:t xml:space="preserve"> Date partitions accelerate access but do not establish causality. Training and replay eligibility are determined by available_ts &lt;= cutoff_ts and the versioned finalization policy. Late events create revisions; they never mutate a previously published feature snapshot or forecast.</w:t>
      </w:r>
    </w:p>
    <w:p>
      <w:pPr>
        <w:pStyle w:val="Heading2"/>
        <w:keepNext/>
        <w:pageBreakBefore w:val="0"/>
        <w:spacing w:before="240" w:after="120"/>
        <w:ind w:left="0" w:firstLine="0"/>
        <w:jc w:val="left"/>
      </w:pPr>
      <w:r>
        <w:t>21.3 Canonical PostgreSQL records</w:t>
      </w:r>
    </w:p>
    <w:tbl>
      <w:tblPr>
        <w:tblW w:type="dxa" w:w="9360"/>
        <w:jc w:val="center"/>
        <w:tblLayout w:type="fixed"/>
        <w:tblLook w:firstColumn="1" w:firstRow="1" w:lastColumn="0" w:lastRow="0" w:noHBand="0" w:noVBand="1" w:val="04A0"/>
      </w:tblPr>
      <w:tblGrid>
        <w:gridCol w:w="2527"/>
        <w:gridCol w:w="2995"/>
        <w:gridCol w:w="3838"/>
      </w:tblGrid>
      <w:tr>
        <w:trPr>
          <w:tblHeader w:val="true"/>
          <w:cantSplit/>
        </w:trPr>
        <w:tc>
          <w:tcPr>
            <w:tcW w:type="dxa" w:w="2527"/>
            <w:tcMar>
              <w:top w:w="80" w:type="dxa"/>
              <w:start w:w="120" w:type="dxa"/>
              <w:bottom w:w="80" w:type="dxa"/>
              <w:end w:w="120" w:type="dxa"/>
            </w:tcMar>
            <w:vAlign w:val="center"/>
            <w:shd w:fill="F2F4F7"/>
          </w:tcPr>
          <w:p>
            <w:pPr>
              <w:spacing w:after="0" w:line="240" w:lineRule="auto"/>
            </w:pPr>
            <w:r>
              <w:rPr>
                <w:rFonts w:ascii="Calibri" w:hAnsi="Calibri"/>
                <w:b/>
                <w:color w:val="1F4D78"/>
                <w:sz w:val="18"/>
              </w:rPr>
              <w:t>Record</w:t>
            </w:r>
          </w:p>
        </w:tc>
        <w:tc>
          <w:tcPr>
            <w:tcW w:type="dxa" w:w="2995"/>
            <w:tcMar>
              <w:top w:w="80" w:type="dxa"/>
              <w:start w:w="120" w:type="dxa"/>
              <w:bottom w:w="80" w:type="dxa"/>
              <w:end w:w="120" w:type="dxa"/>
            </w:tcMar>
            <w:vAlign w:val="center"/>
            <w:shd w:fill="F2F4F7"/>
          </w:tcPr>
          <w:p>
            <w:pPr>
              <w:spacing w:after="0" w:line="240" w:lineRule="auto"/>
            </w:pPr>
            <w:r>
              <w:rPr>
                <w:rFonts w:ascii="Calibri" w:hAnsi="Calibri"/>
                <w:b/>
                <w:color w:val="1F4D78"/>
                <w:sz w:val="18"/>
              </w:rPr>
              <w:t>Primary key / linkage</w:t>
            </w:r>
          </w:p>
        </w:tc>
        <w:tc>
          <w:tcPr>
            <w:tcW w:type="dxa" w:w="3838"/>
            <w:tcMar>
              <w:top w:w="80" w:type="dxa"/>
              <w:start w:w="120" w:type="dxa"/>
              <w:bottom w:w="80" w:type="dxa"/>
              <w:end w:w="120" w:type="dxa"/>
            </w:tcMar>
            <w:vAlign w:val="center"/>
            <w:shd w:fill="F2F4F7"/>
          </w:tcPr>
          <w:p>
            <w:pPr>
              <w:spacing w:after="0" w:line="240" w:lineRule="auto"/>
            </w:pPr>
            <w:r>
              <w:rPr>
                <w:rFonts w:ascii="Calibri" w:hAnsi="Calibri"/>
                <w:b/>
                <w:color w:val="1F4D78"/>
                <w:sz w:val="18"/>
              </w:rPr>
              <w:t>Purpose</w:t>
            </w:r>
          </w:p>
        </w:tc>
      </w:tr>
      <w:tr>
        <w:trPr>
          <w:cantSplit/>
        </w:trPr>
        <w:tc>
          <w:tcPr>
            <w:tcW w:type="dxa" w:w="2527"/>
            <w:tcMar>
              <w:top w:w="80" w:type="dxa"/>
              <w:start w:w="120" w:type="dxa"/>
              <w:bottom w:w="80" w:type="dxa"/>
              <w:end w:w="120" w:type="dxa"/>
            </w:tcMar>
            <w:vAlign w:val="center"/>
          </w:tcPr>
          <w:p>
            <w:pPr>
              <w:spacing w:after="0" w:line="240" w:lineRule="auto"/>
            </w:pPr>
            <w:r>
              <w:rPr>
                <w:rFonts w:ascii="Calibri" w:hAnsi="Calibri"/>
                <w:sz w:val="18"/>
              </w:rPr>
              <w:t>instrument_master</w:t>
            </w:r>
          </w:p>
        </w:tc>
        <w:tc>
          <w:tcPr>
            <w:tcW w:type="dxa" w:w="2995"/>
            <w:tcMar>
              <w:top w:w="80" w:type="dxa"/>
              <w:start w:w="120" w:type="dxa"/>
              <w:bottom w:w="80" w:type="dxa"/>
              <w:end w:w="120" w:type="dxa"/>
            </w:tcMar>
            <w:vAlign w:val="center"/>
          </w:tcPr>
          <w:p>
            <w:pPr>
              <w:spacing w:after="0" w:line="240" w:lineRule="auto"/>
            </w:pPr>
            <w:r>
              <w:rPr>
                <w:rFonts w:ascii="Calibri" w:hAnsi="Calibri"/>
                <w:sz w:val="18"/>
              </w:rPr>
              <w:t>instrument_id + effective_from</w:t>
            </w:r>
          </w:p>
        </w:tc>
        <w:tc>
          <w:tcPr>
            <w:tcW w:type="dxa" w:w="3838"/>
            <w:tcMar>
              <w:top w:w="80" w:type="dxa"/>
              <w:start w:w="120" w:type="dxa"/>
              <w:bottom w:w="80" w:type="dxa"/>
              <w:end w:w="120" w:type="dxa"/>
            </w:tcMar>
            <w:vAlign w:val="center"/>
          </w:tcPr>
          <w:p>
            <w:pPr>
              <w:spacing w:after="0" w:line="240" w:lineRule="auto"/>
            </w:pPr>
            <w:r>
              <w:rPr>
                <w:rFonts w:ascii="Calibri" w:hAnsi="Calibri"/>
                <w:sz w:val="18"/>
              </w:rPr>
              <w:t>Listing, venue, currency, share class, corporate-action and identifier history</w:t>
            </w:r>
          </w:p>
        </w:tc>
      </w:tr>
      <w:tr>
        <w:trPr>
          <w:cantSplit/>
        </w:trPr>
        <w:tc>
          <w:tcPr>
            <w:tcW w:type="dxa" w:w="2527"/>
            <w:tcMar>
              <w:top w:w="80" w:type="dxa"/>
              <w:start w:w="120" w:type="dxa"/>
              <w:bottom w:w="80" w:type="dxa"/>
              <w:end w:w="120" w:type="dxa"/>
            </w:tcMar>
            <w:vAlign w:val="center"/>
          </w:tcPr>
          <w:p>
            <w:pPr>
              <w:spacing w:after="0" w:line="240" w:lineRule="auto"/>
            </w:pPr>
            <w:r>
              <w:rPr>
                <w:rFonts w:ascii="Calibri" w:hAnsi="Calibri"/>
                <w:sz w:val="18"/>
              </w:rPr>
              <w:t>instrument_alias</w:t>
            </w:r>
          </w:p>
        </w:tc>
        <w:tc>
          <w:tcPr>
            <w:tcW w:type="dxa" w:w="2995"/>
            <w:tcMar>
              <w:top w:w="80" w:type="dxa"/>
              <w:start w:w="120" w:type="dxa"/>
              <w:bottom w:w="80" w:type="dxa"/>
              <w:end w:w="120" w:type="dxa"/>
            </w:tcMar>
            <w:vAlign w:val="center"/>
          </w:tcPr>
          <w:p>
            <w:pPr>
              <w:spacing w:after="0" w:line="240" w:lineRule="auto"/>
            </w:pPr>
            <w:r>
              <w:rPr>
                <w:rFonts w:ascii="Calibri" w:hAnsi="Calibri"/>
                <w:sz w:val="18"/>
              </w:rPr>
              <w:t>alias + effective interval</w:t>
            </w:r>
          </w:p>
        </w:tc>
        <w:tc>
          <w:tcPr>
            <w:tcW w:type="dxa" w:w="3838"/>
            <w:tcMar>
              <w:top w:w="80" w:type="dxa"/>
              <w:start w:w="120" w:type="dxa"/>
              <w:bottom w:w="80" w:type="dxa"/>
              <w:end w:w="120" w:type="dxa"/>
            </w:tcMar>
            <w:vAlign w:val="center"/>
          </w:tcPr>
          <w:p>
            <w:pPr>
              <w:spacing w:after="0" w:line="240" w:lineRule="auto"/>
            </w:pPr>
            <w:r>
              <w:rPr>
                <w:rFonts w:ascii="Calibri" w:hAnsi="Calibri"/>
                <w:sz w:val="18"/>
              </w:rPr>
              <w:t>Company-name/ticker mappings without class or history collapse</w:t>
            </w:r>
          </w:p>
        </w:tc>
      </w:tr>
      <w:tr>
        <w:trPr>
          <w:cantSplit/>
        </w:trPr>
        <w:tc>
          <w:tcPr>
            <w:tcW w:type="dxa" w:w="2527"/>
            <w:tcMar>
              <w:top w:w="80" w:type="dxa"/>
              <w:start w:w="120" w:type="dxa"/>
              <w:bottom w:w="80" w:type="dxa"/>
              <w:end w:w="120" w:type="dxa"/>
            </w:tcMar>
            <w:vAlign w:val="center"/>
          </w:tcPr>
          <w:p>
            <w:pPr>
              <w:spacing w:after="0" w:line="240" w:lineRule="auto"/>
            </w:pPr>
            <w:r>
              <w:rPr>
                <w:rFonts w:ascii="Calibri" w:hAnsi="Calibri"/>
                <w:sz w:val="18"/>
              </w:rPr>
              <w:t>sector_membership_pit</w:t>
            </w:r>
          </w:p>
        </w:tc>
        <w:tc>
          <w:tcPr>
            <w:tcW w:type="dxa" w:w="2995"/>
            <w:tcMar>
              <w:top w:w="80" w:type="dxa"/>
              <w:start w:w="120" w:type="dxa"/>
              <w:bottom w:w="80" w:type="dxa"/>
              <w:end w:w="120" w:type="dxa"/>
            </w:tcMar>
            <w:vAlign w:val="center"/>
          </w:tcPr>
          <w:p>
            <w:pPr>
              <w:spacing w:after="0" w:line="240" w:lineRule="auto"/>
            </w:pPr>
            <w:r>
              <w:rPr>
                <w:rFonts w:ascii="Calibri" w:hAnsi="Calibri"/>
                <w:sz w:val="18"/>
              </w:rPr>
              <w:t>taxonomy_version + instrument_id + effective interval</w:t>
            </w:r>
          </w:p>
        </w:tc>
        <w:tc>
          <w:tcPr>
            <w:tcW w:type="dxa" w:w="3838"/>
            <w:tcMar>
              <w:top w:w="80" w:type="dxa"/>
              <w:start w:w="120" w:type="dxa"/>
              <w:bottom w:w="80" w:type="dxa"/>
              <w:end w:w="120" w:type="dxa"/>
            </w:tcMar>
            <w:vAlign w:val="center"/>
          </w:tcPr>
          <w:p>
            <w:pPr>
              <w:spacing w:after="0" w:line="240" w:lineRule="auto"/>
            </w:pPr>
            <w:r>
              <w:rPr>
                <w:rFonts w:ascii="Calibri" w:hAnsi="Calibri"/>
                <w:sz w:val="18"/>
              </w:rPr>
              <w:t>Point-in-time sector, cluster, benchmark and weight</w:t>
            </w:r>
          </w:p>
        </w:tc>
      </w:tr>
      <w:tr>
        <w:trPr>
          <w:cantSplit/>
        </w:trPr>
        <w:tc>
          <w:tcPr>
            <w:tcW w:type="dxa" w:w="2527"/>
            <w:tcMar>
              <w:top w:w="80" w:type="dxa"/>
              <w:start w:w="120" w:type="dxa"/>
              <w:bottom w:w="80" w:type="dxa"/>
              <w:end w:w="120" w:type="dxa"/>
            </w:tcMar>
            <w:vAlign w:val="center"/>
          </w:tcPr>
          <w:p>
            <w:pPr>
              <w:spacing w:after="0" w:line="240" w:lineRule="auto"/>
            </w:pPr>
            <w:r>
              <w:rPr>
                <w:rFonts w:ascii="Calibri" w:hAnsi="Calibri"/>
                <w:sz w:val="18"/>
              </w:rPr>
              <w:t>observation_manifest</w:t>
            </w:r>
          </w:p>
        </w:tc>
        <w:tc>
          <w:tcPr>
            <w:tcW w:type="dxa" w:w="2995"/>
            <w:tcMar>
              <w:top w:w="80" w:type="dxa"/>
              <w:start w:w="120" w:type="dxa"/>
              <w:bottom w:w="80" w:type="dxa"/>
              <w:end w:w="120" w:type="dxa"/>
            </w:tcMar>
            <w:vAlign w:val="center"/>
          </w:tcPr>
          <w:p>
            <w:pPr>
              <w:spacing w:after="0" w:line="240" w:lineRule="auto"/>
            </w:pPr>
            <w:r>
              <w:rPr>
                <w:rFonts w:ascii="Calibri" w:hAnsi="Calibri"/>
                <w:sz w:val="18"/>
              </w:rPr>
              <w:t>provider + dataset + manifest_hash</w:t>
            </w:r>
          </w:p>
        </w:tc>
        <w:tc>
          <w:tcPr>
            <w:tcW w:type="dxa" w:w="3838"/>
            <w:tcMar>
              <w:top w:w="80" w:type="dxa"/>
              <w:start w:w="120" w:type="dxa"/>
              <w:bottom w:w="80" w:type="dxa"/>
              <w:end w:w="120" w:type="dxa"/>
            </w:tcMar>
            <w:vAlign w:val="center"/>
          </w:tcPr>
          <w:p>
            <w:pPr>
              <w:spacing w:after="0" w:line="240" w:lineRule="auto"/>
            </w:pPr>
            <w:r>
              <w:rPr>
                <w:rFonts w:ascii="Calibri" w:hAnsi="Calibri"/>
                <w:sz w:val="18"/>
              </w:rPr>
              <w:t>Entitlement, schema, time range, row count, S3 object hashes and quality receipt</w:t>
            </w:r>
          </w:p>
        </w:tc>
      </w:tr>
      <w:tr>
        <w:trPr>
          <w:cantSplit/>
        </w:trPr>
        <w:tc>
          <w:tcPr>
            <w:tcW w:type="dxa" w:w="2527"/>
            <w:tcMar>
              <w:top w:w="80" w:type="dxa"/>
              <w:start w:w="120" w:type="dxa"/>
              <w:bottom w:w="80" w:type="dxa"/>
              <w:end w:w="120" w:type="dxa"/>
            </w:tcMar>
            <w:vAlign w:val="center"/>
          </w:tcPr>
          <w:p>
            <w:pPr>
              <w:spacing w:after="0" w:line="240" w:lineRule="auto"/>
            </w:pPr>
            <w:r>
              <w:rPr>
                <w:rFonts w:ascii="Calibri" w:hAnsi="Calibri"/>
                <w:sz w:val="18"/>
              </w:rPr>
              <w:t>feature_snapshot</w:t>
            </w:r>
          </w:p>
        </w:tc>
        <w:tc>
          <w:tcPr>
            <w:tcW w:type="dxa" w:w="2995"/>
            <w:tcMar>
              <w:top w:w="80" w:type="dxa"/>
              <w:start w:w="120" w:type="dxa"/>
              <w:bottom w:w="80" w:type="dxa"/>
              <w:end w:w="120" w:type="dxa"/>
            </w:tcMar>
            <w:vAlign w:val="center"/>
          </w:tcPr>
          <w:p>
            <w:pPr>
              <w:spacing w:after="0" w:line="240" w:lineRule="auto"/>
            </w:pPr>
            <w:r>
              <w:rPr>
                <w:rFonts w:ascii="Calibri" w:hAnsi="Calibri"/>
                <w:sz w:val="18"/>
              </w:rPr>
              <w:t>instrument_id + cutoff + feature_set_version</w:t>
            </w:r>
          </w:p>
        </w:tc>
        <w:tc>
          <w:tcPr>
            <w:tcW w:type="dxa" w:w="3838"/>
            <w:tcMar>
              <w:top w:w="80" w:type="dxa"/>
              <w:start w:w="120" w:type="dxa"/>
              <w:bottom w:w="80" w:type="dxa"/>
              <w:end w:w="120" w:type="dxa"/>
            </w:tcMar>
            <w:vAlign w:val="center"/>
          </w:tcPr>
          <w:p>
            <w:pPr>
              <w:spacing w:after="0" w:line="240" w:lineRule="auto"/>
            </w:pPr>
            <w:r>
              <w:rPr>
                <w:rFonts w:ascii="Calibri" w:hAnsi="Calibri"/>
                <w:sz w:val="18"/>
              </w:rPr>
              <w:t>Content-addressed causal feature row linked to manifests</w:t>
            </w:r>
          </w:p>
        </w:tc>
      </w:tr>
      <w:tr>
        <w:trPr>
          <w:cantSplit/>
        </w:trPr>
        <w:tc>
          <w:tcPr>
            <w:tcW w:type="dxa" w:w="2527"/>
            <w:tcMar>
              <w:top w:w="80" w:type="dxa"/>
              <w:start w:w="120" w:type="dxa"/>
              <w:bottom w:w="80" w:type="dxa"/>
              <w:end w:w="120" w:type="dxa"/>
            </w:tcMar>
            <w:vAlign w:val="center"/>
          </w:tcPr>
          <w:p>
            <w:pPr>
              <w:spacing w:after="0" w:line="240" w:lineRule="auto"/>
            </w:pPr>
            <w:r>
              <w:rPr>
                <w:rFonts w:ascii="Calibri" w:hAnsi="Calibri"/>
                <w:sz w:val="18"/>
              </w:rPr>
              <w:t>model_registry</w:t>
            </w:r>
          </w:p>
        </w:tc>
        <w:tc>
          <w:tcPr>
            <w:tcW w:type="dxa" w:w="2995"/>
            <w:tcMar>
              <w:top w:w="80" w:type="dxa"/>
              <w:start w:w="120" w:type="dxa"/>
              <w:bottom w:w="80" w:type="dxa"/>
              <w:end w:w="120" w:type="dxa"/>
            </w:tcMar>
            <w:vAlign w:val="center"/>
          </w:tcPr>
          <w:p>
            <w:pPr>
              <w:spacing w:after="0" w:line="240" w:lineRule="auto"/>
            </w:pPr>
            <w:r>
              <w:rPr>
                <w:rFonts w:ascii="Calibri" w:hAnsi="Calibri"/>
                <w:sz w:val="18"/>
              </w:rPr>
              <w:t>model_id + immutable_version</w:t>
            </w:r>
          </w:p>
        </w:tc>
        <w:tc>
          <w:tcPr>
            <w:tcW w:type="dxa" w:w="3838"/>
            <w:tcMar>
              <w:top w:w="80" w:type="dxa"/>
              <w:start w:w="120" w:type="dxa"/>
              <w:bottom w:w="80" w:type="dxa"/>
              <w:end w:w="120" w:type="dxa"/>
            </w:tcMar>
            <w:vAlign w:val="center"/>
          </w:tcPr>
          <w:p>
            <w:pPr>
              <w:spacing w:after="0" w:line="240" w:lineRule="auto"/>
            </w:pPr>
            <w:r>
              <w:rPr>
                <w:rFonts w:ascii="Calibri" w:hAnsi="Calibri"/>
                <w:sz w:val="18"/>
              </w:rPr>
              <w:t>Universe, horizons, artifact hashes, validation and promotion state</w:t>
            </w:r>
          </w:p>
        </w:tc>
      </w:tr>
      <w:tr>
        <w:trPr>
          <w:cantSplit/>
        </w:trPr>
        <w:tc>
          <w:tcPr>
            <w:tcW w:type="dxa" w:w="2527"/>
            <w:tcMar>
              <w:top w:w="80" w:type="dxa"/>
              <w:start w:w="120" w:type="dxa"/>
              <w:bottom w:w="80" w:type="dxa"/>
              <w:end w:w="120" w:type="dxa"/>
            </w:tcMar>
            <w:vAlign w:val="center"/>
          </w:tcPr>
          <w:p>
            <w:pPr>
              <w:spacing w:after="0" w:line="240" w:lineRule="auto"/>
            </w:pPr>
            <w:r>
              <w:rPr>
                <w:rFonts w:ascii="Calibri" w:hAnsi="Calibri"/>
                <w:sz w:val="18"/>
              </w:rPr>
              <w:t>prediction_ledger</w:t>
            </w:r>
          </w:p>
        </w:tc>
        <w:tc>
          <w:tcPr>
            <w:tcW w:type="dxa" w:w="2995"/>
            <w:tcMar>
              <w:top w:w="80" w:type="dxa"/>
              <w:start w:w="120" w:type="dxa"/>
              <w:bottom w:w="80" w:type="dxa"/>
              <w:end w:w="120" w:type="dxa"/>
            </w:tcMar>
            <w:vAlign w:val="center"/>
          </w:tcPr>
          <w:p>
            <w:pPr>
              <w:spacing w:after="0" w:line="240" w:lineRule="auto"/>
            </w:pPr>
            <w:r>
              <w:rPr>
                <w:rFonts w:ascii="Calibri" w:hAnsi="Calibri"/>
                <w:sz w:val="18"/>
              </w:rPr>
              <w:t>prediction_id</w:t>
            </w:r>
          </w:p>
        </w:tc>
        <w:tc>
          <w:tcPr>
            <w:tcW w:type="dxa" w:w="3838"/>
            <w:tcMar>
              <w:top w:w="80" w:type="dxa"/>
              <w:start w:w="120" w:type="dxa"/>
              <w:bottom w:w="80" w:type="dxa"/>
              <w:end w:w="120" w:type="dxa"/>
            </w:tcMar>
            <w:vAlign w:val="center"/>
          </w:tcPr>
          <w:p>
            <w:pPr>
              <w:spacing w:after="0" w:line="240" w:lineRule="auto"/>
            </w:pPr>
            <w:r>
              <w:rPr>
                <w:rFonts w:ascii="Calibri" w:hAnsi="Calibri"/>
                <w:sz w:val="18"/>
              </w:rPr>
              <w:t>Every forecast, abstention, blocker, source receipt, version and publication latency</w:t>
            </w:r>
          </w:p>
        </w:tc>
      </w:tr>
      <w:tr>
        <w:trPr>
          <w:cantSplit/>
        </w:trPr>
        <w:tc>
          <w:tcPr>
            <w:tcW w:type="dxa" w:w="2527"/>
            <w:tcMar>
              <w:top w:w="80" w:type="dxa"/>
              <w:start w:w="120" w:type="dxa"/>
              <w:bottom w:w="80" w:type="dxa"/>
              <w:end w:w="120" w:type="dxa"/>
            </w:tcMar>
            <w:vAlign w:val="center"/>
          </w:tcPr>
          <w:p>
            <w:pPr>
              <w:spacing w:after="0" w:line="240" w:lineRule="auto"/>
            </w:pPr>
            <w:r>
              <w:rPr>
                <w:rFonts w:ascii="Calibri" w:hAnsi="Calibri"/>
                <w:sz w:val="18"/>
              </w:rPr>
              <w:t>prediction_outcome</w:t>
            </w:r>
          </w:p>
        </w:tc>
        <w:tc>
          <w:tcPr>
            <w:tcW w:type="dxa" w:w="2995"/>
            <w:tcMar>
              <w:top w:w="80" w:type="dxa"/>
              <w:start w:w="120" w:type="dxa"/>
              <w:bottom w:w="80" w:type="dxa"/>
              <w:end w:w="120" w:type="dxa"/>
            </w:tcMar>
            <w:vAlign w:val="center"/>
          </w:tcPr>
          <w:p>
            <w:pPr>
              <w:spacing w:after="0" w:line="240" w:lineRule="auto"/>
            </w:pPr>
            <w:r>
              <w:rPr>
                <w:rFonts w:ascii="Calibri" w:hAnsi="Calibri"/>
                <w:sz w:val="18"/>
              </w:rPr>
              <w:t>prediction_id + label_version</w:t>
            </w:r>
          </w:p>
        </w:tc>
        <w:tc>
          <w:tcPr>
            <w:tcW w:type="dxa" w:w="3838"/>
            <w:tcMar>
              <w:top w:w="80" w:type="dxa"/>
              <w:start w:w="120" w:type="dxa"/>
              <w:bottom w:w="80" w:type="dxa"/>
              <w:end w:w="120" w:type="dxa"/>
            </w:tcMar>
            <w:vAlign w:val="center"/>
          </w:tcPr>
          <w:p>
            <w:pPr>
              <w:spacing w:after="0" w:line="240" w:lineRule="auto"/>
            </w:pPr>
            <w:r>
              <w:rPr>
                <w:rFonts w:ascii="Calibri" w:hAnsi="Calibri"/>
                <w:sz w:val="18"/>
              </w:rPr>
              <w:t>Outcome available time, realized return/path and evaluation eligibility</w:t>
            </w:r>
          </w:p>
        </w:tc>
      </w:tr>
      <w:tr>
        <w:trPr>
          <w:cantSplit/>
        </w:trPr>
        <w:tc>
          <w:tcPr>
            <w:tcW w:type="dxa" w:w="2527"/>
            <w:tcMar>
              <w:top w:w="80" w:type="dxa"/>
              <w:start w:w="120" w:type="dxa"/>
              <w:bottom w:w="80" w:type="dxa"/>
              <w:end w:w="120" w:type="dxa"/>
            </w:tcMar>
            <w:vAlign w:val="center"/>
          </w:tcPr>
          <w:p>
            <w:pPr>
              <w:spacing w:after="0" w:line="240" w:lineRule="auto"/>
            </w:pPr>
            <w:r>
              <w:rPr>
                <w:rFonts w:ascii="Calibri" w:hAnsi="Calibri"/>
                <w:sz w:val="18"/>
              </w:rPr>
              <w:t>query_run / query_result</w:t>
            </w:r>
          </w:p>
        </w:tc>
        <w:tc>
          <w:tcPr>
            <w:tcW w:type="dxa" w:w="2995"/>
            <w:tcMar>
              <w:top w:w="80" w:type="dxa"/>
              <w:start w:w="120" w:type="dxa"/>
              <w:bottom w:w="80" w:type="dxa"/>
              <w:end w:w="120" w:type="dxa"/>
            </w:tcMar>
            <w:vAlign w:val="center"/>
          </w:tcPr>
          <w:p>
            <w:pPr>
              <w:spacing w:after="0" w:line="240" w:lineRule="auto"/>
            </w:pPr>
            <w:r>
              <w:rPr>
                <w:rFonts w:ascii="Calibri" w:hAnsi="Calibri"/>
                <w:sz w:val="18"/>
              </w:rPr>
              <w:t>request_id + requested ordinal</w:t>
            </w:r>
          </w:p>
        </w:tc>
        <w:tc>
          <w:tcPr>
            <w:tcW w:type="dxa" w:w="3838"/>
            <w:tcMar>
              <w:top w:w="80" w:type="dxa"/>
              <w:start w:w="120" w:type="dxa"/>
              <w:bottom w:w="80" w:type="dxa"/>
              <w:end w:w="120" w:type="dxa"/>
            </w:tcMar>
            <w:vAlign w:val="center"/>
          </w:tcPr>
          <w:p>
            <w:pPr>
              <w:spacing w:after="0" w:line="240" w:lineRule="auto"/>
            </w:pPr>
            <w:r>
              <w:rPr>
                <w:rFonts w:ascii="Calibri" w:hAnsi="Calibri"/>
                <w:sz w:val="18"/>
              </w:rPr>
              <w:t>Preserves 1:N user intent, per-asset status, latency and evidence linkage</w:t>
            </w:r>
          </w:p>
        </w:tc>
      </w:tr>
      <w:tr>
        <w:trPr>
          <w:cantSplit/>
        </w:trPr>
        <w:tc>
          <w:tcPr>
            <w:tcW w:type="dxa" w:w="2527"/>
            <w:tcMar>
              <w:top w:w="80" w:type="dxa"/>
              <w:start w:w="120" w:type="dxa"/>
              <w:bottom w:w="80" w:type="dxa"/>
              <w:end w:w="120" w:type="dxa"/>
            </w:tcMar>
            <w:vAlign w:val="center"/>
          </w:tcPr>
          <w:p>
            <w:pPr>
              <w:spacing w:after="0" w:line="240" w:lineRule="auto"/>
            </w:pPr>
            <w:r>
              <w:rPr>
                <w:rFonts w:ascii="Calibri" w:hAnsi="Calibri"/>
                <w:sz w:val="18"/>
              </w:rPr>
              <w:t>evaluation_run</w:t>
            </w:r>
          </w:p>
        </w:tc>
        <w:tc>
          <w:tcPr>
            <w:tcW w:type="dxa" w:w="2995"/>
            <w:tcMar>
              <w:top w:w="80" w:type="dxa"/>
              <w:start w:w="120" w:type="dxa"/>
              <w:bottom w:w="80" w:type="dxa"/>
              <w:end w:w="120" w:type="dxa"/>
            </w:tcMar>
            <w:vAlign w:val="center"/>
          </w:tcPr>
          <w:p>
            <w:pPr>
              <w:spacing w:after="0" w:line="240" w:lineRule="auto"/>
            </w:pPr>
            <w:r>
              <w:rPr>
                <w:rFonts w:ascii="Calibri" w:hAnsi="Calibri"/>
                <w:sz w:val="18"/>
              </w:rPr>
              <w:t>run_id</w:t>
            </w:r>
          </w:p>
        </w:tc>
        <w:tc>
          <w:tcPr>
            <w:tcW w:type="dxa" w:w="3838"/>
            <w:tcMar>
              <w:top w:w="80" w:type="dxa"/>
              <w:start w:w="120" w:type="dxa"/>
              <w:bottom w:w="80" w:type="dxa"/>
              <w:end w:w="120" w:type="dxa"/>
            </w:tcMar>
            <w:vAlign w:val="center"/>
          </w:tcPr>
          <w:p>
            <w:pPr>
              <w:spacing w:after="0" w:line="240" w:lineRule="auto"/>
            </w:pPr>
            <w:r>
              <w:rPr>
                <w:rFonts w:ascii="Calibri" w:hAnsi="Calibri"/>
                <w:sz w:val="18"/>
              </w:rPr>
              <w:t>Dataset/model versions, folds, metrics, controls, approvals and report artifacts</w:t>
            </w:r>
          </w:p>
        </w:tc>
      </w:tr>
    </w:tbl>
    <w:p>
      <w:pPr>
        <w:spacing w:after="0"/>
      </w:pPr>
    </w:p>
    <w:p>
      <w:pPr>
        <w:pStyle w:val="Heading2"/>
        <w:keepNext/>
        <w:pageBreakBefore w:val="0"/>
        <w:spacing w:before="240" w:after="120"/>
        <w:ind w:left="0" w:firstLine="0"/>
        <w:jc w:val="left"/>
      </w:pPr>
      <w:r>
        <w:t>21.4 Durability, security, and cost controls</w:t>
      </w:r>
    </w:p>
    <w:p>
      <w:pPr>
        <w:pStyle w:val="ListBullet"/>
        <w:spacing w:after="120"/>
        <w:ind w:left="720" w:hanging="360"/>
      </w:pPr>
      <w:r>
        <w:t>Enable versioning, encryption, lifecycle tiers, and cross-account or cross-region backups aligned to recovery objectives; test restore rather than assuming it works.</w:t>
      </w:r>
    </w:p>
    <w:p>
      <w:pPr>
        <w:pStyle w:val="ListBullet"/>
        <w:spacing w:after="120"/>
        <w:ind w:left="720" w:hanging="360"/>
      </w:pPr>
      <w:r>
        <w:t>Use deterministic idempotency keys based on provider, dataset, instrument, event timestamp/sequence and payload hash; duplicate arrival cannot create a second canonical event.</w:t>
      </w:r>
    </w:p>
    <w:p>
      <w:pPr>
        <w:pStyle w:val="ListBullet"/>
        <w:spacing w:after="120"/>
        <w:ind w:left="720" w:hanging="360"/>
      </w:pPr>
      <w:r>
        <w:t>Separate licensed raw data from customer-visible derived evidence. Redistribution follows vendor entitlement; no hidden Yahoo or synthetic production substitute.</w:t>
      </w:r>
    </w:p>
    <w:p>
      <w:pPr>
        <w:pStyle w:val="ListBullet"/>
        <w:spacing w:after="120"/>
        <w:ind w:left="720" w:hanging="360"/>
      </w:pPr>
      <w:r>
        <w:t>Keep credentials in Secrets Manager/server-side environment only; use least-privilege roles for ingest, training, inference and web read paths.</w:t>
      </w:r>
    </w:p>
    <w:p>
      <w:pPr>
        <w:pStyle w:val="ListBullet"/>
        <w:spacing w:after="120"/>
        <w:ind w:left="720" w:hanging="360"/>
      </w:pPr>
      <w:r>
        <w:t>Apply budgets and cost allocation tags. Start with EC2/ECS + S3 + PostgreSQL; introduce Kinesis, Glue and larger clusters only after measured throughput, latency or audit needs justify them.</w:t>
      </w:r>
    </w:p>
    <w:p>
      <w:pPr>
        <w:pStyle w:val="ListBullet"/>
        <w:spacing w:after="120"/>
        <w:ind w:left="720" w:hanging="360"/>
      </w:pPr>
      <w:r>
        <w:t>Recovery acceptance: recreate current model registry and every published/withheld ledger entry from backup, then replay a declared interval to matching hashes/tolerances.</w:t>
      </w:r>
    </w:p>
    <w:p>
      <w:pPr>
        <w:pStyle w:val="Heading1"/>
        <w:keepNext/>
        <w:pageBreakBefore w:val="0"/>
        <w:spacing w:before="320" w:after="160"/>
        <w:ind w:left="0" w:firstLine="0"/>
        <w:jc w:val="left"/>
      </w:pPr>
      <w:r>
        <w:t>22. Accuracy and Practical-Utility Improvement Program</w:t>
      </w:r>
    </w:p>
    <w:p>
      <w:pPr/>
      <w:r>
        <w:t>Accuracy is not a single dashboard percentage. AXIO7 must improve conditional distribution quality, directional calibration, ranking skill, coverage, latency, and abstention utility relative to the current-price/zero-return martingale baseline. The order of work is correctness and data durability first, then causal feature/model challengers, then calibrated promotion.</w:t>
      </w:r>
    </w:p>
    <w:p>
      <w:pPr>
        <w:pStyle w:val="Heading2"/>
        <w:keepNext/>
        <w:pageBreakBefore w:val="0"/>
        <w:spacing w:before="240" w:after="120"/>
        <w:ind w:left="0" w:firstLine="0"/>
        <w:jc w:val="left"/>
      </w:pPr>
      <w:r>
        <w:t>22.1 Work sequence</w:t>
      </w:r>
    </w:p>
    <w:tbl>
      <w:tblPr>
        <w:tblW w:type="dxa" w:w="9360"/>
        <w:jc w:val="center"/>
        <w:tblLayout w:type="fixed"/>
        <w:tblLook w:firstColumn="1" w:firstRow="1" w:lastColumn="0" w:lastRow="0" w:noHBand="0" w:noVBand="1" w:val="04A0"/>
      </w:tblPr>
      <w:tblGrid>
        <w:gridCol w:w="1591"/>
        <w:gridCol w:w="4493"/>
        <w:gridCol w:w="3276"/>
      </w:tblGrid>
      <w:tr>
        <w:trPr>
          <w:tblHeader w:val="true"/>
          <w:cantSplit/>
        </w:trPr>
        <w:tc>
          <w:tcPr>
            <w:tcW w:type="dxa" w:w="1591"/>
            <w:tcMar>
              <w:top w:w="80" w:type="dxa"/>
              <w:start w:w="120" w:type="dxa"/>
              <w:bottom w:w="80" w:type="dxa"/>
              <w:end w:w="120" w:type="dxa"/>
            </w:tcMar>
            <w:vAlign w:val="center"/>
            <w:shd w:fill="F2F4F7"/>
          </w:tcPr>
          <w:p>
            <w:pPr>
              <w:spacing w:after="0" w:line="240" w:lineRule="auto"/>
            </w:pPr>
            <w:r>
              <w:rPr>
                <w:rFonts w:ascii="Calibri" w:hAnsi="Calibri"/>
                <w:b/>
                <w:color w:val="1F4D78"/>
                <w:sz w:val="18"/>
              </w:rPr>
              <w:t>Phase</w:t>
            </w:r>
          </w:p>
        </w:tc>
        <w:tc>
          <w:tcPr>
            <w:tcW w:type="dxa" w:w="4493"/>
            <w:tcMar>
              <w:top w:w="80" w:type="dxa"/>
              <w:start w:w="120" w:type="dxa"/>
              <w:bottom w:w="80" w:type="dxa"/>
              <w:end w:w="120" w:type="dxa"/>
            </w:tcMar>
            <w:vAlign w:val="center"/>
            <w:shd w:fill="F2F4F7"/>
          </w:tcPr>
          <w:p>
            <w:pPr>
              <w:spacing w:after="0" w:line="240" w:lineRule="auto"/>
            </w:pPr>
            <w:r>
              <w:rPr>
                <w:rFonts w:ascii="Calibri" w:hAnsi="Calibri"/>
                <w:b/>
                <w:color w:val="1F4D78"/>
                <w:sz w:val="18"/>
              </w:rPr>
              <w:t>Deliverable</w:t>
            </w:r>
          </w:p>
        </w:tc>
        <w:tc>
          <w:tcPr>
            <w:tcW w:type="dxa" w:w="3276"/>
            <w:tcMar>
              <w:top w:w="80" w:type="dxa"/>
              <w:start w:w="120" w:type="dxa"/>
              <w:bottom w:w="80" w:type="dxa"/>
              <w:end w:w="120" w:type="dxa"/>
            </w:tcMar>
            <w:vAlign w:val="center"/>
            <w:shd w:fill="F2F4F7"/>
          </w:tcPr>
          <w:p>
            <w:pPr>
              <w:spacing w:after="0" w:line="240" w:lineRule="auto"/>
            </w:pPr>
            <w:r>
              <w:rPr>
                <w:rFonts w:ascii="Calibri" w:hAnsi="Calibri"/>
                <w:b/>
                <w:color w:val="1F4D78"/>
                <w:sz w:val="18"/>
              </w:rPr>
              <w:t>Exit evidence</w:t>
            </w:r>
          </w:p>
        </w:tc>
      </w:tr>
      <w:tr>
        <w:trPr>
          <w:cantSplit/>
        </w:trPr>
        <w:tc>
          <w:tcPr>
            <w:tcW w:type="dxa" w:w="1591"/>
            <w:tcMar>
              <w:top w:w="80" w:type="dxa"/>
              <w:start w:w="120" w:type="dxa"/>
              <w:bottom w:w="80" w:type="dxa"/>
              <w:end w:w="120" w:type="dxa"/>
            </w:tcMar>
            <w:vAlign w:val="center"/>
          </w:tcPr>
          <w:p>
            <w:pPr>
              <w:spacing w:after="0" w:line="240" w:lineRule="auto"/>
            </w:pPr>
            <w:r>
              <w:rPr>
                <w:rFonts w:ascii="Calibri" w:hAnsi="Calibri"/>
                <w:sz w:val="18"/>
              </w:rPr>
              <w:t>P0 Contract truth</w:t>
            </w:r>
          </w:p>
        </w:tc>
        <w:tc>
          <w:tcPr>
            <w:tcW w:type="dxa" w:w="4493"/>
            <w:tcMar>
              <w:top w:w="80" w:type="dxa"/>
              <w:start w:w="120" w:type="dxa"/>
              <w:bottom w:w="80" w:type="dxa"/>
              <w:end w:w="120" w:type="dxa"/>
            </w:tcMar>
            <w:vAlign w:val="center"/>
          </w:tcPr>
          <w:p>
            <w:pPr>
              <w:spacing w:after="0" w:line="240" w:lineRule="auto"/>
            </w:pPr>
            <w:r>
              <w:rPr>
                <w:rFonts w:ascii="Calibri" w:hAnsi="Calibri"/>
                <w:sz w:val="18"/>
              </w:rPr>
              <w:t>1:N query/result contract, symbol master, scalar fallback removal, symbol-aware copy and health/result separation</w:t>
            </w:r>
          </w:p>
        </w:tc>
        <w:tc>
          <w:tcPr>
            <w:tcW w:type="dxa" w:w="3276"/>
            <w:tcMar>
              <w:top w:w="80" w:type="dxa"/>
              <w:start w:w="120" w:type="dxa"/>
              <w:bottom w:w="80" w:type="dxa"/>
              <w:end w:w="120" w:type="dxa"/>
            </w:tcMar>
            <w:vAlign w:val="center"/>
          </w:tcPr>
          <w:p>
            <w:pPr>
              <w:spacing w:after="0" w:line="240" w:lineRule="auto"/>
            </w:pPr>
            <w:r>
              <w:rPr>
                <w:rFonts w:ascii="Calibri" w:hAnsi="Calibri"/>
                <w:sz w:val="18"/>
              </w:rPr>
              <w:t>AT-16 through AT-20 pass; the four-ticker incident is reproducibly fixed</w:t>
            </w:r>
          </w:p>
        </w:tc>
      </w:tr>
      <w:tr>
        <w:trPr>
          <w:cantSplit/>
        </w:trPr>
        <w:tc>
          <w:tcPr>
            <w:tcW w:type="dxa" w:w="1591"/>
            <w:tcMar>
              <w:top w:w="80" w:type="dxa"/>
              <w:start w:w="120" w:type="dxa"/>
              <w:bottom w:w="80" w:type="dxa"/>
              <w:end w:w="120" w:type="dxa"/>
            </w:tcMar>
            <w:vAlign w:val="center"/>
          </w:tcPr>
          <w:p>
            <w:pPr>
              <w:spacing w:after="0" w:line="240" w:lineRule="auto"/>
            </w:pPr>
            <w:r>
              <w:rPr>
                <w:rFonts w:ascii="Calibri" w:hAnsi="Calibri"/>
                <w:sz w:val="18"/>
              </w:rPr>
              <w:t>P1 Durable evidence</w:t>
            </w:r>
          </w:p>
        </w:tc>
        <w:tc>
          <w:tcPr>
            <w:tcW w:type="dxa" w:w="4493"/>
            <w:tcMar>
              <w:top w:w="80" w:type="dxa"/>
              <w:start w:w="120" w:type="dxa"/>
              <w:bottom w:w="80" w:type="dxa"/>
              <w:end w:w="120" w:type="dxa"/>
            </w:tcMar>
            <w:vAlign w:val="center"/>
          </w:tcPr>
          <w:p>
            <w:pPr>
              <w:spacing w:after="0" w:line="240" w:lineRule="auto"/>
            </w:pPr>
            <w:r>
              <w:rPr>
                <w:rFonts w:ascii="Calibri" w:hAnsi="Calibri"/>
                <w:sz w:val="18"/>
              </w:rPr>
              <w:t>S3 manifests/Parquet history, PostgreSQL ledgers/taxonomy, idempotent realtime ingest and outcome join</w:t>
            </w:r>
          </w:p>
        </w:tc>
        <w:tc>
          <w:tcPr>
            <w:tcW w:type="dxa" w:w="3276"/>
            <w:tcMar>
              <w:top w:w="80" w:type="dxa"/>
              <w:start w:w="120" w:type="dxa"/>
              <w:bottom w:w="80" w:type="dxa"/>
              <w:end w:w="120" w:type="dxa"/>
            </w:tcMar>
            <w:vAlign w:val="center"/>
          </w:tcPr>
          <w:p>
            <w:pPr>
              <w:spacing w:after="0" w:line="240" w:lineRule="auto"/>
            </w:pPr>
            <w:r>
              <w:rPr>
                <w:rFonts w:ascii="Calibri" w:hAnsi="Calibri"/>
                <w:sz w:val="18"/>
              </w:rPr>
              <w:t>AT-21 through AT-23 pass; restart/restore/replay proven</w:t>
            </w:r>
          </w:p>
        </w:tc>
      </w:tr>
      <w:tr>
        <w:trPr>
          <w:cantSplit/>
        </w:trPr>
        <w:tc>
          <w:tcPr>
            <w:tcW w:type="dxa" w:w="1591"/>
            <w:tcMar>
              <w:top w:w="80" w:type="dxa"/>
              <w:start w:w="120" w:type="dxa"/>
              <w:bottom w:w="80" w:type="dxa"/>
              <w:end w:w="120" w:type="dxa"/>
            </w:tcMar>
            <w:vAlign w:val="center"/>
          </w:tcPr>
          <w:p>
            <w:pPr>
              <w:spacing w:after="0" w:line="240" w:lineRule="auto"/>
            </w:pPr>
            <w:r>
              <w:rPr>
                <w:rFonts w:ascii="Calibri" w:hAnsi="Calibri"/>
                <w:sz w:val="18"/>
              </w:rPr>
              <w:t>P2 Baselines</w:t>
            </w:r>
          </w:p>
        </w:tc>
        <w:tc>
          <w:tcPr>
            <w:tcW w:type="dxa" w:w="4493"/>
            <w:tcMar>
              <w:top w:w="80" w:type="dxa"/>
              <w:start w:w="120" w:type="dxa"/>
              <w:bottom w:w="80" w:type="dxa"/>
              <w:end w:w="120" w:type="dxa"/>
            </w:tcMar>
            <w:vAlign w:val="center"/>
          </w:tcPr>
          <w:p>
            <w:pPr>
              <w:spacing w:after="0" w:line="240" w:lineRule="auto"/>
            </w:pPr>
            <w:r>
              <w:rPr>
                <w:rFonts w:ascii="Calibri" w:hAnsi="Calibri"/>
                <w:sz w:val="18"/>
              </w:rPr>
              <w:t>Martingale/current-price, unconditional, persistence/momentum and regularized causal baselines for every horizon</w:t>
            </w:r>
          </w:p>
        </w:tc>
        <w:tc>
          <w:tcPr>
            <w:tcW w:type="dxa" w:w="3276"/>
            <w:tcMar>
              <w:top w:w="80" w:type="dxa"/>
              <w:start w:w="120" w:type="dxa"/>
              <w:bottom w:w="80" w:type="dxa"/>
              <w:end w:w="120" w:type="dxa"/>
            </w:tcMar>
            <w:vAlign w:val="center"/>
          </w:tcPr>
          <w:p>
            <w:pPr>
              <w:spacing w:after="0" w:line="240" w:lineRule="auto"/>
            </w:pPr>
            <w:r>
              <w:rPr>
                <w:rFonts w:ascii="Calibri" w:hAnsi="Calibri"/>
                <w:sz w:val="18"/>
              </w:rPr>
              <w:t>Baseline predictions and metrics stored for every eligible cutoff</w:t>
            </w:r>
          </w:p>
        </w:tc>
      </w:tr>
      <w:tr>
        <w:trPr>
          <w:cantSplit/>
        </w:trPr>
        <w:tc>
          <w:tcPr>
            <w:tcW w:type="dxa" w:w="1591"/>
            <w:tcMar>
              <w:top w:w="80" w:type="dxa"/>
              <w:start w:w="120" w:type="dxa"/>
              <w:bottom w:w="80" w:type="dxa"/>
              <w:end w:w="120" w:type="dxa"/>
            </w:tcMar>
            <w:vAlign w:val="center"/>
          </w:tcPr>
          <w:p>
            <w:pPr>
              <w:spacing w:after="0" w:line="240" w:lineRule="auto"/>
            </w:pPr>
            <w:r>
              <w:rPr>
                <w:rFonts w:ascii="Calibri" w:hAnsi="Calibri"/>
                <w:sz w:val="18"/>
              </w:rPr>
              <w:t>P3 Rotation MVP</w:t>
            </w:r>
          </w:p>
        </w:tc>
        <w:tc>
          <w:tcPr>
            <w:tcW w:type="dxa" w:w="4493"/>
            <w:tcMar>
              <w:top w:w="80" w:type="dxa"/>
              <w:start w:w="120" w:type="dxa"/>
              <w:bottom w:w="80" w:type="dxa"/>
              <w:end w:w="120" w:type="dxa"/>
            </w:tcMar>
            <w:vAlign w:val="center"/>
          </w:tcPr>
          <w:p>
            <w:pPr>
              <w:spacing w:after="0" w:line="240" w:lineRule="auto"/>
            </w:pPr>
            <w:r>
              <w:rPr>
                <w:rFonts w:ascii="Calibri" w:hAnsi="Calibri"/>
                <w:sz w:val="18"/>
              </w:rPr>
              <w:t>Point-in-time sector taxonomy, breadth/relative-strength features, hierarchical market-&gt;sector-&gt;asset ranks</w:t>
            </w:r>
          </w:p>
        </w:tc>
        <w:tc>
          <w:tcPr>
            <w:tcW w:type="dxa" w:w="3276"/>
            <w:tcMar>
              <w:top w:w="80" w:type="dxa"/>
              <w:start w:w="120" w:type="dxa"/>
              <w:bottom w:w="80" w:type="dxa"/>
              <w:end w:w="120" w:type="dxa"/>
            </w:tcMar>
            <w:vAlign w:val="center"/>
          </w:tcPr>
          <w:p>
            <w:pPr>
              <w:spacing w:after="0" w:line="240" w:lineRule="auto"/>
            </w:pPr>
            <w:r>
              <w:rPr>
                <w:rFonts w:ascii="Calibri" w:hAnsi="Calibri"/>
                <w:sz w:val="18"/>
              </w:rPr>
              <w:t>Stable walk-forward lift versus simple rotation baselines; complete failure slices</w:t>
            </w:r>
          </w:p>
        </w:tc>
      </w:tr>
      <w:tr>
        <w:trPr>
          <w:cantSplit/>
        </w:trPr>
        <w:tc>
          <w:tcPr>
            <w:tcW w:type="dxa" w:w="1591"/>
            <w:tcMar>
              <w:top w:w="80" w:type="dxa"/>
              <w:start w:w="120" w:type="dxa"/>
              <w:bottom w:w="80" w:type="dxa"/>
              <w:end w:w="120" w:type="dxa"/>
            </w:tcMar>
            <w:vAlign w:val="center"/>
          </w:tcPr>
          <w:p>
            <w:pPr>
              <w:spacing w:after="0" w:line="240" w:lineRule="auto"/>
            </w:pPr>
            <w:r>
              <w:rPr>
                <w:rFonts w:ascii="Calibri" w:hAnsi="Calibri"/>
                <w:sz w:val="18"/>
              </w:rPr>
              <w:t>P4 Model challengers</w:t>
            </w:r>
          </w:p>
        </w:tc>
        <w:tc>
          <w:tcPr>
            <w:tcW w:type="dxa" w:w="4493"/>
            <w:tcMar>
              <w:top w:w="80" w:type="dxa"/>
              <w:start w:w="120" w:type="dxa"/>
              <w:bottom w:w="80" w:type="dxa"/>
              <w:end w:w="120" w:type="dxa"/>
            </w:tcMar>
            <w:vAlign w:val="center"/>
          </w:tcPr>
          <w:p>
            <w:pPr>
              <w:spacing w:after="0" w:line="240" w:lineRule="auto"/>
            </w:pPr>
            <w:r>
              <w:rPr>
                <w:rFonts w:ascii="Calibri" w:hAnsi="Calibri"/>
                <w:sz w:val="18"/>
              </w:rPr>
              <w:t>HMM/analogue refinements, GBDT/ridge challengers, microstructure and event submodels, controlled ensemble</w:t>
            </w:r>
          </w:p>
        </w:tc>
        <w:tc>
          <w:tcPr>
            <w:tcW w:type="dxa" w:w="3276"/>
            <w:tcMar>
              <w:top w:w="80" w:type="dxa"/>
              <w:start w:w="120" w:type="dxa"/>
              <w:bottom w:w="80" w:type="dxa"/>
              <w:end w:w="120" w:type="dxa"/>
            </w:tcMar>
            <w:vAlign w:val="center"/>
          </w:tcPr>
          <w:p>
            <w:pPr>
              <w:spacing w:after="0" w:line="240" w:lineRule="auto"/>
            </w:pPr>
            <w:r>
              <w:rPr>
                <w:rFonts w:ascii="Calibri" w:hAnsi="Calibri"/>
                <w:sz w:val="18"/>
              </w:rPr>
              <w:t>Incremental OOS skill, ablations, negative controls and cost/latency stress</w:t>
            </w:r>
          </w:p>
        </w:tc>
      </w:tr>
      <w:tr>
        <w:trPr>
          <w:cantSplit/>
        </w:trPr>
        <w:tc>
          <w:tcPr>
            <w:tcW w:type="dxa" w:w="1591"/>
            <w:tcMar>
              <w:top w:w="80" w:type="dxa"/>
              <w:start w:w="120" w:type="dxa"/>
              <w:bottom w:w="80" w:type="dxa"/>
              <w:end w:w="120" w:type="dxa"/>
            </w:tcMar>
            <w:vAlign w:val="center"/>
          </w:tcPr>
          <w:p>
            <w:pPr>
              <w:spacing w:after="0" w:line="240" w:lineRule="auto"/>
            </w:pPr>
            <w:r>
              <w:rPr>
                <w:rFonts w:ascii="Calibri" w:hAnsi="Calibri"/>
                <w:sz w:val="18"/>
              </w:rPr>
              <w:t>P5 Calibrate &amp; shadow</w:t>
            </w:r>
          </w:p>
        </w:tc>
        <w:tc>
          <w:tcPr>
            <w:tcW w:type="dxa" w:w="4493"/>
            <w:tcMar>
              <w:top w:w="80" w:type="dxa"/>
              <w:start w:w="120" w:type="dxa"/>
              <w:bottom w:w="80" w:type="dxa"/>
              <w:end w:w="120" w:type="dxa"/>
            </w:tcMar>
            <w:vAlign w:val="center"/>
          </w:tcPr>
          <w:p>
            <w:pPr>
              <w:spacing w:after="0" w:line="240" w:lineRule="auto"/>
            </w:pPr>
            <w:r>
              <w:rPr>
                <w:rFonts w:ascii="Calibri" w:hAnsi="Calibri"/>
                <w:sz w:val="18"/>
              </w:rPr>
              <w:t>Immutable probability/interval calibration, OOD/support gates, forward-shadow ledger and drift monitoring</w:t>
            </w:r>
          </w:p>
        </w:tc>
        <w:tc>
          <w:tcPr>
            <w:tcW w:type="dxa" w:w="3276"/>
            <w:tcMar>
              <w:top w:w="80" w:type="dxa"/>
              <w:start w:w="120" w:type="dxa"/>
              <w:bottom w:w="80" w:type="dxa"/>
              <w:end w:w="120" w:type="dxa"/>
            </w:tcMar>
            <w:vAlign w:val="center"/>
          </w:tcPr>
          <w:p>
            <w:pPr>
              <w:spacing w:after="0" w:line="240" w:lineRule="auto"/>
            </w:pPr>
            <w:r>
              <w:rPr>
                <w:rFonts w:ascii="Calibri" w:hAnsi="Calibri"/>
                <w:sz w:val="18"/>
              </w:rPr>
              <w:t>Promotion gates pass with adequate independent sample and no unresolved critical incident</w:t>
            </w:r>
          </w:p>
        </w:tc>
      </w:tr>
      <w:tr>
        <w:trPr>
          <w:cantSplit/>
        </w:trPr>
        <w:tc>
          <w:tcPr>
            <w:tcW w:type="dxa" w:w="1591"/>
            <w:tcMar>
              <w:top w:w="80" w:type="dxa"/>
              <w:start w:w="120" w:type="dxa"/>
              <w:bottom w:w="80" w:type="dxa"/>
              <w:end w:w="120" w:type="dxa"/>
            </w:tcMar>
            <w:vAlign w:val="center"/>
          </w:tcPr>
          <w:p>
            <w:pPr>
              <w:spacing w:after="0" w:line="240" w:lineRule="auto"/>
            </w:pPr>
            <w:r>
              <w:rPr>
                <w:rFonts w:ascii="Calibri" w:hAnsi="Calibri"/>
                <w:sz w:val="18"/>
              </w:rPr>
              <w:t>P6 Customer utility</w:t>
            </w:r>
          </w:p>
        </w:tc>
        <w:tc>
          <w:tcPr>
            <w:tcW w:type="dxa" w:w="4493"/>
            <w:tcMar>
              <w:top w:w="80" w:type="dxa"/>
              <w:start w:w="120" w:type="dxa"/>
              <w:bottom w:w="80" w:type="dxa"/>
              <w:end w:w="120" w:type="dxa"/>
            </w:tcMar>
            <w:vAlign w:val="center"/>
          </w:tcPr>
          <w:p>
            <w:pPr>
              <w:spacing w:after="0" w:line="240" w:lineRule="auto"/>
            </w:pPr>
            <w:r>
              <w:rPr>
                <w:rFonts w:ascii="Calibri" w:hAnsi="Calibri"/>
                <w:sz w:val="18"/>
              </w:rPr>
              <w:t>Comparison matrix, sector map, saved monitors, evidence drilldown and API</w:t>
            </w:r>
          </w:p>
        </w:tc>
        <w:tc>
          <w:tcPr>
            <w:tcW w:type="dxa" w:w="3276"/>
            <w:tcMar>
              <w:top w:w="80" w:type="dxa"/>
              <w:start w:w="120" w:type="dxa"/>
              <w:bottom w:w="80" w:type="dxa"/>
              <w:end w:w="120" w:type="dxa"/>
            </w:tcMar>
            <w:vAlign w:val="center"/>
          </w:tcPr>
          <w:p>
            <w:pPr>
              <w:spacing w:after="0" w:line="240" w:lineRule="auto"/>
            </w:pPr>
            <w:r>
              <w:rPr>
                <w:rFonts w:ascii="Calibri" w:hAnsi="Calibri"/>
                <w:sz w:val="18"/>
              </w:rPr>
              <w:t>Users receive fast, truthful, multi-asset answers; no silent loss or false certainty</w:t>
            </w:r>
          </w:p>
        </w:tc>
      </w:tr>
    </w:tbl>
    <w:p>
      <w:pPr>
        <w:spacing w:after="0"/>
      </w:pPr>
    </w:p>
    <w:p>
      <w:pPr>
        <w:pStyle w:val="Heading2"/>
        <w:keepNext/>
        <w:pageBreakBefore w:val="0"/>
        <w:spacing w:before="240" w:after="120"/>
        <w:ind w:left="0" w:firstLine="0"/>
        <w:jc w:val="left"/>
      </w:pPr>
      <w:r>
        <w:t>22.2 Model experiment portfolio</w:t>
      </w:r>
    </w:p>
    <w:tbl>
      <w:tblPr>
        <w:tblW w:type="dxa" w:w="9360"/>
        <w:jc w:val="center"/>
        <w:tblLayout w:type="fixed"/>
        <w:tblLook w:firstColumn="1" w:firstRow="1" w:lastColumn="0" w:lastRow="0" w:noHBand="0" w:noVBand="1" w:val="04A0"/>
      </w:tblPr>
      <w:tblGrid>
        <w:gridCol w:w="2246"/>
        <w:gridCol w:w="4306"/>
        <w:gridCol w:w="2808"/>
      </w:tblGrid>
      <w:tr>
        <w:trPr>
          <w:tblHeader w:val="true"/>
          <w:cantSplit/>
        </w:trPr>
        <w:tc>
          <w:tcPr>
            <w:tcW w:type="dxa" w:w="2246"/>
            <w:tcMar>
              <w:top w:w="80" w:type="dxa"/>
              <w:start w:w="120" w:type="dxa"/>
              <w:bottom w:w="80" w:type="dxa"/>
              <w:end w:w="120" w:type="dxa"/>
            </w:tcMar>
            <w:vAlign w:val="center"/>
            <w:shd w:fill="F2F4F7"/>
          </w:tcPr>
          <w:p>
            <w:pPr>
              <w:spacing w:after="0" w:line="240" w:lineRule="auto"/>
            </w:pPr>
            <w:r>
              <w:rPr>
                <w:rFonts w:ascii="Calibri" w:hAnsi="Calibri"/>
                <w:b/>
                <w:color w:val="1F4D78"/>
                <w:sz w:val="18"/>
              </w:rPr>
              <w:t>Experiment</w:t>
            </w:r>
          </w:p>
        </w:tc>
        <w:tc>
          <w:tcPr>
            <w:tcW w:type="dxa" w:w="4306"/>
            <w:tcMar>
              <w:top w:w="80" w:type="dxa"/>
              <w:start w:w="120" w:type="dxa"/>
              <w:bottom w:w="80" w:type="dxa"/>
              <w:end w:w="120" w:type="dxa"/>
            </w:tcMar>
            <w:vAlign w:val="center"/>
            <w:shd w:fill="F2F4F7"/>
          </w:tcPr>
          <w:p>
            <w:pPr>
              <w:spacing w:after="0" w:line="240" w:lineRule="auto"/>
            </w:pPr>
            <w:r>
              <w:rPr>
                <w:rFonts w:ascii="Calibri" w:hAnsi="Calibri"/>
                <w:b/>
                <w:color w:val="1F4D78"/>
                <w:sz w:val="18"/>
              </w:rPr>
              <w:t>Question</w:t>
            </w:r>
          </w:p>
        </w:tc>
        <w:tc>
          <w:tcPr>
            <w:tcW w:type="dxa" w:w="2808"/>
            <w:tcMar>
              <w:top w:w="80" w:type="dxa"/>
              <w:start w:w="120" w:type="dxa"/>
              <w:bottom w:w="80" w:type="dxa"/>
              <w:end w:w="120" w:type="dxa"/>
            </w:tcMar>
            <w:vAlign w:val="center"/>
            <w:shd w:fill="F2F4F7"/>
          </w:tcPr>
          <w:p>
            <w:pPr>
              <w:spacing w:after="0" w:line="240" w:lineRule="auto"/>
            </w:pPr>
            <w:r>
              <w:rPr>
                <w:rFonts w:ascii="Calibri" w:hAnsi="Calibri"/>
                <w:b/>
                <w:color w:val="1F4D78"/>
                <w:sz w:val="18"/>
              </w:rPr>
              <w:t>Promotion rule</w:t>
            </w:r>
          </w:p>
        </w:tc>
      </w:tr>
      <w:tr>
        <w:trPr>
          <w:cantSplit/>
        </w:trPr>
        <w:tc>
          <w:tcPr>
            <w:tcW w:type="dxa" w:w="2246"/>
            <w:tcMar>
              <w:top w:w="80" w:type="dxa"/>
              <w:start w:w="120" w:type="dxa"/>
              <w:bottom w:w="80" w:type="dxa"/>
              <w:end w:w="120" w:type="dxa"/>
            </w:tcMar>
            <w:vAlign w:val="center"/>
          </w:tcPr>
          <w:p>
            <w:pPr>
              <w:spacing w:after="0" w:line="240" w:lineRule="auto"/>
            </w:pPr>
            <w:r>
              <w:rPr>
                <w:rFonts w:ascii="Calibri" w:hAnsi="Calibri"/>
                <w:sz w:val="18"/>
              </w:rPr>
              <w:t>B0 Martingale</w:t>
            </w:r>
          </w:p>
        </w:tc>
        <w:tc>
          <w:tcPr>
            <w:tcW w:type="dxa" w:w="4306"/>
            <w:tcMar>
              <w:top w:w="80" w:type="dxa"/>
              <w:start w:w="120" w:type="dxa"/>
              <w:bottom w:w="80" w:type="dxa"/>
              <w:end w:w="120" w:type="dxa"/>
            </w:tcMar>
            <w:vAlign w:val="center"/>
          </w:tcPr>
          <w:p>
            <w:pPr>
              <w:spacing w:after="0" w:line="240" w:lineRule="auto"/>
            </w:pPr>
            <w:r>
              <w:rPr>
                <w:rFonts w:ascii="Calibri" w:hAnsi="Calibri"/>
                <w:sz w:val="18"/>
              </w:rPr>
              <w:t>Does current price / zero return remain the best point forecast?</w:t>
            </w:r>
          </w:p>
        </w:tc>
        <w:tc>
          <w:tcPr>
            <w:tcW w:type="dxa" w:w="2808"/>
            <w:tcMar>
              <w:top w:w="80" w:type="dxa"/>
              <w:start w:w="120" w:type="dxa"/>
              <w:bottom w:w="80" w:type="dxa"/>
              <w:end w:w="120" w:type="dxa"/>
            </w:tcMar>
            <w:vAlign w:val="center"/>
          </w:tcPr>
          <w:p>
            <w:pPr>
              <w:spacing w:after="0" w:line="240" w:lineRule="auto"/>
            </w:pPr>
            <w:r>
              <w:rPr>
                <w:rFonts w:ascii="Calibri" w:hAnsi="Calibri"/>
                <w:sz w:val="18"/>
              </w:rPr>
              <w:t>Always scored; never removed</w:t>
            </w:r>
          </w:p>
        </w:tc>
      </w:tr>
      <w:tr>
        <w:trPr>
          <w:cantSplit/>
        </w:trPr>
        <w:tc>
          <w:tcPr>
            <w:tcW w:type="dxa" w:w="2246"/>
            <w:tcMar>
              <w:top w:w="80" w:type="dxa"/>
              <w:start w:w="120" w:type="dxa"/>
              <w:bottom w:w="80" w:type="dxa"/>
              <w:end w:w="120" w:type="dxa"/>
            </w:tcMar>
            <w:vAlign w:val="center"/>
          </w:tcPr>
          <w:p>
            <w:pPr>
              <w:spacing w:after="0" w:line="240" w:lineRule="auto"/>
            </w:pPr>
            <w:r>
              <w:rPr>
                <w:rFonts w:ascii="Calibri" w:hAnsi="Calibri"/>
                <w:sz w:val="18"/>
              </w:rPr>
              <w:t>B1 Persistence / residual momentum</w:t>
            </w:r>
          </w:p>
        </w:tc>
        <w:tc>
          <w:tcPr>
            <w:tcW w:type="dxa" w:w="4306"/>
            <w:tcMar>
              <w:top w:w="80" w:type="dxa"/>
              <w:start w:w="120" w:type="dxa"/>
              <w:bottom w:w="80" w:type="dxa"/>
              <w:end w:w="120" w:type="dxa"/>
            </w:tcMar>
            <w:vAlign w:val="center"/>
          </w:tcPr>
          <w:p>
            <w:pPr>
              <w:spacing w:after="0" w:line="240" w:lineRule="auto"/>
            </w:pPr>
            <w:r>
              <w:rPr>
                <w:rFonts w:ascii="Calibri" w:hAnsi="Calibri"/>
                <w:sz w:val="18"/>
              </w:rPr>
              <w:t>Does simple market/sector-adjusted persistence explain most trend skill?</w:t>
            </w:r>
          </w:p>
        </w:tc>
        <w:tc>
          <w:tcPr>
            <w:tcW w:type="dxa" w:w="2808"/>
            <w:tcMar>
              <w:top w:w="80" w:type="dxa"/>
              <w:start w:w="120" w:type="dxa"/>
              <w:bottom w:w="80" w:type="dxa"/>
              <w:end w:w="120" w:type="dxa"/>
            </w:tcMar>
            <w:vAlign w:val="center"/>
          </w:tcPr>
          <w:p>
            <w:pPr>
              <w:spacing w:after="0" w:line="240" w:lineRule="auto"/>
            </w:pPr>
            <w:r>
              <w:rPr>
                <w:rFonts w:ascii="Calibri" w:hAnsi="Calibri"/>
                <w:sz w:val="18"/>
              </w:rPr>
              <w:t>Challengers must beat it on identical PIT rows</w:t>
            </w:r>
          </w:p>
        </w:tc>
      </w:tr>
      <w:tr>
        <w:trPr>
          <w:cantSplit/>
        </w:trPr>
        <w:tc>
          <w:tcPr>
            <w:tcW w:type="dxa" w:w="2246"/>
            <w:tcMar>
              <w:top w:w="80" w:type="dxa"/>
              <w:start w:w="120" w:type="dxa"/>
              <w:bottom w:w="80" w:type="dxa"/>
              <w:end w:w="120" w:type="dxa"/>
            </w:tcMar>
            <w:vAlign w:val="center"/>
          </w:tcPr>
          <w:p>
            <w:pPr>
              <w:spacing w:after="0" w:line="240" w:lineRule="auto"/>
            </w:pPr>
            <w:r>
              <w:rPr>
                <w:rFonts w:ascii="Calibri" w:hAnsi="Calibri"/>
                <w:sz w:val="18"/>
              </w:rPr>
              <w:t>M1 HMM + soft analogues</w:t>
            </w:r>
          </w:p>
        </w:tc>
        <w:tc>
          <w:tcPr>
            <w:tcW w:type="dxa" w:w="4306"/>
            <w:tcMar>
              <w:top w:w="80" w:type="dxa"/>
              <w:start w:w="120" w:type="dxa"/>
              <w:bottom w:w="80" w:type="dxa"/>
              <w:end w:w="120" w:type="dxa"/>
            </w:tcMar>
            <w:vAlign w:val="center"/>
          </w:tcPr>
          <w:p>
            <w:pPr>
              <w:spacing w:after="0" w:line="240" w:lineRule="auto"/>
            </w:pPr>
            <w:r>
              <w:rPr>
                <w:rFonts w:ascii="Calibri" w:hAnsi="Calibri"/>
                <w:sz w:val="18"/>
              </w:rPr>
              <w:t>Do probabilistic regimes and local historical memory add distribution skill?</w:t>
            </w:r>
          </w:p>
        </w:tc>
        <w:tc>
          <w:tcPr>
            <w:tcW w:type="dxa" w:w="2808"/>
            <w:tcMar>
              <w:top w:w="80" w:type="dxa"/>
              <w:start w:w="120" w:type="dxa"/>
              <w:bottom w:w="80" w:type="dxa"/>
              <w:end w:w="120" w:type="dxa"/>
            </w:tcMar>
            <w:vAlign w:val="center"/>
          </w:tcPr>
          <w:p>
            <w:pPr>
              <w:spacing w:after="0" w:line="240" w:lineRule="auto"/>
            </w:pPr>
            <w:r>
              <w:rPr>
                <w:rFonts w:ascii="Calibri" w:hAnsi="Calibri"/>
                <w:sz w:val="18"/>
              </w:rPr>
              <w:t>Keep only stable incremental OOS lift and adequate effective support</w:t>
            </w:r>
          </w:p>
        </w:tc>
      </w:tr>
      <w:tr>
        <w:trPr>
          <w:cantSplit/>
        </w:trPr>
        <w:tc>
          <w:tcPr>
            <w:tcW w:type="dxa" w:w="2246"/>
            <w:tcMar>
              <w:top w:w="80" w:type="dxa"/>
              <w:start w:w="120" w:type="dxa"/>
              <w:bottom w:w="80" w:type="dxa"/>
              <w:end w:w="120" w:type="dxa"/>
            </w:tcMar>
            <w:vAlign w:val="center"/>
          </w:tcPr>
          <w:p>
            <w:pPr>
              <w:spacing w:after="0" w:line="240" w:lineRule="auto"/>
            </w:pPr>
            <w:r>
              <w:rPr>
                <w:rFonts w:ascii="Calibri" w:hAnsi="Calibri"/>
                <w:sz w:val="18"/>
              </w:rPr>
              <w:t>M2 Cross-sectional ridge / GBDT</w:t>
            </w:r>
          </w:p>
        </w:tc>
        <w:tc>
          <w:tcPr>
            <w:tcW w:type="dxa" w:w="4306"/>
            <w:tcMar>
              <w:top w:w="80" w:type="dxa"/>
              <w:start w:w="120" w:type="dxa"/>
              <w:bottom w:w="80" w:type="dxa"/>
              <w:end w:w="120" w:type="dxa"/>
            </w:tcMar>
            <w:vAlign w:val="center"/>
          </w:tcPr>
          <w:p>
            <w:pPr>
              <w:spacing w:after="0" w:line="240" w:lineRule="auto"/>
            </w:pPr>
            <w:r>
              <w:rPr>
                <w:rFonts w:ascii="Calibri" w:hAnsi="Calibri"/>
                <w:sz w:val="18"/>
              </w:rPr>
              <w:t>Can sector-relative features rank future residual returns?</w:t>
            </w:r>
          </w:p>
        </w:tc>
        <w:tc>
          <w:tcPr>
            <w:tcW w:type="dxa" w:w="2808"/>
            <w:tcMar>
              <w:top w:w="80" w:type="dxa"/>
              <w:start w:w="120" w:type="dxa"/>
              <w:bottom w:w="80" w:type="dxa"/>
              <w:end w:w="120" w:type="dxa"/>
            </w:tcMar>
            <w:vAlign w:val="center"/>
          </w:tcPr>
          <w:p>
            <w:pPr>
              <w:spacing w:after="0" w:line="240" w:lineRule="auto"/>
            </w:pPr>
            <w:r>
              <w:rPr>
                <w:rFonts w:ascii="Calibri" w:hAnsi="Calibri"/>
                <w:sz w:val="18"/>
              </w:rPr>
              <w:t>Nested OOF fitting, bounded complexity, calibration and turnover/cost evidence</w:t>
            </w:r>
          </w:p>
        </w:tc>
      </w:tr>
      <w:tr>
        <w:trPr>
          <w:cantSplit/>
        </w:trPr>
        <w:tc>
          <w:tcPr>
            <w:tcW w:type="dxa" w:w="2246"/>
            <w:tcMar>
              <w:top w:w="80" w:type="dxa"/>
              <w:start w:w="120" w:type="dxa"/>
              <w:bottom w:w="80" w:type="dxa"/>
              <w:end w:w="120" w:type="dxa"/>
            </w:tcMar>
            <w:vAlign w:val="center"/>
          </w:tcPr>
          <w:p>
            <w:pPr>
              <w:spacing w:after="0" w:line="240" w:lineRule="auto"/>
            </w:pPr>
            <w:r>
              <w:rPr>
                <w:rFonts w:ascii="Calibri" w:hAnsi="Calibri"/>
                <w:sz w:val="18"/>
              </w:rPr>
              <w:t>M3 Microstructure</w:t>
            </w:r>
          </w:p>
        </w:tc>
        <w:tc>
          <w:tcPr>
            <w:tcW w:type="dxa" w:w="4306"/>
            <w:tcMar>
              <w:top w:w="80" w:type="dxa"/>
              <w:start w:w="120" w:type="dxa"/>
              <w:bottom w:w="80" w:type="dxa"/>
              <w:end w:w="120" w:type="dxa"/>
            </w:tcMar>
            <w:vAlign w:val="center"/>
          </w:tcPr>
          <w:p>
            <w:pPr>
              <w:spacing w:after="0" w:line="240" w:lineRule="auto"/>
            </w:pPr>
            <w:r>
              <w:rPr>
                <w:rFonts w:ascii="Calibri" w:hAnsi="Calibri"/>
                <w:sz w:val="18"/>
              </w:rPr>
              <w:t>Do OFI, spread, depth and volume improve 5-60m states?</w:t>
            </w:r>
          </w:p>
        </w:tc>
        <w:tc>
          <w:tcPr>
            <w:tcW w:type="dxa" w:w="2808"/>
            <w:tcMar>
              <w:top w:w="80" w:type="dxa"/>
              <w:start w:w="120" w:type="dxa"/>
              <w:bottom w:w="80" w:type="dxa"/>
              <w:end w:w="120" w:type="dxa"/>
            </w:tcMar>
            <w:vAlign w:val="center"/>
          </w:tcPr>
          <w:p>
            <w:pPr>
              <w:spacing w:after="0" w:line="240" w:lineRule="auto"/>
            </w:pPr>
            <w:r>
              <w:rPr>
                <w:rFonts w:ascii="Calibri" w:hAnsi="Calibri"/>
                <w:sz w:val="18"/>
              </w:rPr>
              <w:t>Licensed causal inputs, latency-aware ablation, executable reference</w:t>
            </w:r>
          </w:p>
        </w:tc>
      </w:tr>
      <w:tr>
        <w:trPr>
          <w:cantSplit/>
        </w:trPr>
        <w:tc>
          <w:tcPr>
            <w:tcW w:type="dxa" w:w="2246"/>
            <w:tcMar>
              <w:top w:w="80" w:type="dxa"/>
              <w:start w:w="120" w:type="dxa"/>
              <w:bottom w:w="80" w:type="dxa"/>
              <w:end w:w="120" w:type="dxa"/>
            </w:tcMar>
            <w:vAlign w:val="center"/>
          </w:tcPr>
          <w:p>
            <w:pPr>
              <w:spacing w:after="0" w:line="240" w:lineRule="auto"/>
            </w:pPr>
            <w:r>
              <w:rPr>
                <w:rFonts w:ascii="Calibri" w:hAnsi="Calibri"/>
                <w:sz w:val="18"/>
              </w:rPr>
              <w:t>M4 Event submodels</w:t>
            </w:r>
          </w:p>
        </w:tc>
        <w:tc>
          <w:tcPr>
            <w:tcW w:type="dxa" w:w="4306"/>
            <w:tcMar>
              <w:top w:w="80" w:type="dxa"/>
              <w:start w:w="120" w:type="dxa"/>
              <w:bottom w:w="80" w:type="dxa"/>
              <w:end w:w="120" w:type="dxa"/>
            </w:tcMar>
            <w:vAlign w:val="center"/>
          </w:tcPr>
          <w:p>
            <w:pPr>
              <w:spacing w:after="0" w:line="240" w:lineRule="auto"/>
            </w:pPr>
            <w:r>
              <w:rPr>
                <w:rFonts w:ascii="Calibri" w:hAnsi="Calibri"/>
                <w:sz w:val="18"/>
              </w:rPr>
              <w:t>Do earnings/macro/news states change conditional distributions?</w:t>
            </w:r>
          </w:p>
        </w:tc>
        <w:tc>
          <w:tcPr>
            <w:tcW w:type="dxa" w:w="2808"/>
            <w:tcMar>
              <w:top w:w="80" w:type="dxa"/>
              <w:start w:w="120" w:type="dxa"/>
              <w:bottom w:w="80" w:type="dxa"/>
              <w:end w:w="120" w:type="dxa"/>
            </w:tcMar>
            <w:vAlign w:val="center"/>
          </w:tcPr>
          <w:p>
            <w:pPr>
              <w:spacing w:after="0" w:line="240" w:lineRule="auto"/>
            </w:pPr>
            <w:r>
              <w:rPr>
                <w:rFonts w:ascii="Calibri" w:hAnsi="Calibri"/>
                <w:sz w:val="18"/>
              </w:rPr>
              <w:t>Separate event atlas, point-in-time calendar/consensus, independent promotion</w:t>
            </w:r>
          </w:p>
        </w:tc>
      </w:tr>
      <w:tr>
        <w:trPr>
          <w:cantSplit/>
        </w:trPr>
        <w:tc>
          <w:tcPr>
            <w:tcW w:type="dxa" w:w="2246"/>
            <w:tcMar>
              <w:top w:w="80" w:type="dxa"/>
              <w:start w:w="120" w:type="dxa"/>
              <w:bottom w:w="80" w:type="dxa"/>
              <w:end w:w="120" w:type="dxa"/>
            </w:tcMar>
            <w:vAlign w:val="center"/>
          </w:tcPr>
          <w:p>
            <w:pPr>
              <w:spacing w:after="0" w:line="240" w:lineRule="auto"/>
            </w:pPr>
            <w:r>
              <w:rPr>
                <w:rFonts w:ascii="Calibri" w:hAnsi="Calibri"/>
                <w:sz w:val="18"/>
              </w:rPr>
              <w:t>M5 Controlled ensemble</w:t>
            </w:r>
          </w:p>
        </w:tc>
        <w:tc>
          <w:tcPr>
            <w:tcW w:type="dxa" w:w="4306"/>
            <w:tcMar>
              <w:top w:w="80" w:type="dxa"/>
              <w:start w:w="120" w:type="dxa"/>
              <w:bottom w:w="80" w:type="dxa"/>
              <w:end w:w="120" w:type="dxa"/>
            </w:tcMar>
            <w:vAlign w:val="center"/>
          </w:tcPr>
          <w:p>
            <w:pPr>
              <w:spacing w:after="0" w:line="240" w:lineRule="auto"/>
            </w:pPr>
            <w:r>
              <w:rPr>
                <w:rFonts w:ascii="Calibri" w:hAnsi="Calibri"/>
                <w:sz w:val="18"/>
              </w:rPr>
              <w:t>Do weak, genuinely distinct models improve robustness?</w:t>
            </w:r>
          </w:p>
        </w:tc>
        <w:tc>
          <w:tcPr>
            <w:tcW w:type="dxa" w:w="2808"/>
            <w:tcMar>
              <w:top w:w="80" w:type="dxa"/>
              <w:start w:w="120" w:type="dxa"/>
              <w:bottom w:w="80" w:type="dxa"/>
              <w:end w:w="120" w:type="dxa"/>
            </w:tcMar>
            <w:vAlign w:val="center"/>
          </w:tcPr>
          <w:p>
            <w:pPr>
              <w:spacing w:after="0" w:line="240" w:lineRule="auto"/>
            </w:pPr>
            <w:r>
              <w:rPr>
                <w:rFonts w:ascii="Calibri" w:hAnsi="Calibri"/>
                <w:sz w:val="18"/>
              </w:rPr>
              <w:t>Frozen OOF weights; diversity and calibration tests; no LLM votes</w:t>
            </w:r>
          </w:p>
        </w:tc>
      </w:tr>
    </w:tbl>
    <w:p>
      <w:pPr>
        <w:spacing w:after="0"/>
      </w:pPr>
    </w:p>
    <w:p>
      <w:pPr>
        <w:pStyle w:val="Heading2"/>
        <w:keepNext/>
        <w:pageBreakBefore w:val="0"/>
        <w:spacing w:before="240" w:after="120"/>
        <w:ind w:left="0" w:firstLine="0"/>
        <w:jc w:val="left"/>
      </w:pPr>
      <w:r>
        <w:t>22.3 Mandatory evidence before claiming improvement</w:t>
      </w:r>
    </w:p>
    <w:p>
      <w:pPr>
        <w:pStyle w:val="ListBullet"/>
        <w:spacing w:after="120"/>
        <w:ind w:left="720" w:hanging="360"/>
      </w:pPr>
      <w:r>
        <w:t>Point forecast: MAE/RMSE or MASE on return/price change versus B0, with confidence intervals by independent time block.</w:t>
      </w:r>
    </w:p>
    <w:p>
      <w:pPr>
        <w:pStyle w:val="ListBullet"/>
        <w:spacing w:after="120"/>
        <w:ind w:left="720" w:hanging="360"/>
      </w:pPr>
      <w:r>
        <w:t>Probability: Brier skill, log loss, reliability/ECE and calibration coverage versus base rate; no probability is published without a promoted artifact.</w:t>
      </w:r>
    </w:p>
    <w:p>
      <w:pPr>
        <w:pStyle w:val="ListBullet"/>
        <w:spacing w:after="120"/>
        <w:ind w:left="720" w:hanging="360"/>
      </w:pPr>
      <w:r>
        <w:t>Distribution: CRPS and empirical interval coverage, including tail and event slices.</w:t>
      </w:r>
    </w:p>
    <w:p>
      <w:pPr>
        <w:pStyle w:val="ListBullet"/>
        <w:spacing w:after="120"/>
        <w:ind w:left="720" w:hanging="360"/>
      </w:pPr>
      <w:r>
        <w:t>Direction/trend: balanced accuracy, MCC/AUC where applicable, transition Brier score, and explicit neutral/abstention class.</w:t>
      </w:r>
    </w:p>
    <w:p>
      <w:pPr>
        <w:pStyle w:val="ListBullet"/>
        <w:spacing w:after="120"/>
        <w:ind w:left="720" w:hanging="360"/>
      </w:pPr>
      <w:r>
        <w:t>Rotation/ranking: rank IC, top-k precision, persistence, turnover and cost-aware top-minus-bottom research spread with block-bootstrap uncertainty.</w:t>
      </w:r>
    </w:p>
    <w:p>
      <w:pPr>
        <w:pStyle w:val="ListBullet"/>
        <w:spacing w:after="120"/>
        <w:ind w:left="720" w:hanging="360"/>
      </w:pPr>
      <w:r>
        <w:t>Operations: coverage, missingness, freshness, p50/p95/p99 publication latency, replay parity, ledger completeness and reason-coded abstention distribution.</w:t>
      </w:r>
    </w:p>
    <w:p>
      <w:pPr>
        <w:pStyle w:val="ListBullet"/>
        <w:spacing w:after="120"/>
        <w:ind w:left="720" w:hanging="360"/>
      </w:pPr>
      <w:r>
        <w:t>Robustness: purged walk-forward, untouched final block, point-in-time taxonomy, label shift/shuffle tests, feature ablations, multiple-testing control, 1.5x/2x cost stress, OOD and later forward shadow.</w:t>
      </w:r>
    </w:p>
    <w:tbl>
      <w:tblPr>
        <w:tblW w:type="dxa" w:w="9360"/>
        <w:jc w:val="center"/>
        <w:tblLayout w:type="fixed"/>
        <w:tblLook w:firstColumn="1" w:firstRow="1" w:lastColumn="0" w:lastRow="0" w:noHBand="0" w:noVBand="1" w:val="04A0"/>
      </w:tblPr>
      <w:tblGrid>
        <w:gridCol w:w="9360"/>
      </w:tblGrid>
      <w:tr>
        <w:trPr>
          <w:cantSplit/>
        </w:trPr>
        <w:tc>
          <w:tcPr>
            <w:tcW w:type="dxa" w:w="9360"/>
            <w:shd w:fill="EAF2F8"/>
            <w:tcMar>
              <w:top w:w="80" w:type="dxa"/>
              <w:start w:w="120" w:type="dxa"/>
              <w:bottom w:w="80" w:type="dxa"/>
              <w:end w:w="120" w:type="dxa"/>
            </w:tcMar>
            <w:vAlign w:val="center"/>
          </w:tcPr>
          <w:p>
            <w:r>
              <w:rPr>
                <w:b/>
                <w:color w:val="1F4D78"/>
              </w:rPr>
              <w:t xml:space="preserve">Release principle: </w:t>
            </w:r>
            <w:r>
              <w:t>If an advanced model does not beat the current-price/zero-return and strongest simple causal baselines on independent point-in-time data, the correct customer result is observation, uncertainty, or abstention—not a more confident-looking number.</w:t>
            </w:r>
          </w:p>
        </w:tc>
      </w:tr>
    </w:tbl>
    <w:p>
      <w:pPr>
        <w:spacing w:after="0"/>
      </w:pPr>
    </w:p>
    <w:p>
      <w:pPr>
        <w:pStyle w:val="Heading1"/>
        <w:keepNext/>
      </w:pPr>
      <w:r>
        <w:t>23. Definition of Done</w:t>
      </w:r>
    </w:p>
    <w:p>
      <w:pPr>
        <w:spacing w:before="60" w:after="160" w:line="276" w:lineRule="auto"/>
        <w:ind w:left="115" w:right="115"/>
        <w:shd w:fill="E8F4EE"/>
        <w:pBdr>
          <w:top w:val="single" w:sz="4" w:space="6" w:color="E8F4EE"/>
          <w:left w:val="single" w:sz="4" w:space="6" w:color="E8F4EE"/>
          <w:bottom w:val="single" w:sz="4" w:space="6" w:color="E8F4EE"/>
          <w:right w:val="single" w:sz="4" w:space="6" w:color="E8F4EE"/>
        </w:pBdr>
      </w:pPr>
      <w:r>
        <w:rPr>
          <w:rFonts w:ascii="Calibri" w:hAnsi="Calibri" w:eastAsia="Calibri" w:cs="Calibri"/>
          <w:b/>
          <w:color w:val="1F6B4F"/>
          <w:sz w:val="21"/>
        </w:rPr>
        <w:t xml:space="preserve">SYSTEM DONE  </w:t>
      </w:r>
      <w:r>
        <w:rPr>
          <w:rFonts w:ascii="Calibri" w:hAnsi="Calibri" w:eastAsia="Calibri" w:cs="Calibri"/>
          <w:color w:val="111111"/>
          <w:sz w:val="21"/>
        </w:rPr>
        <w:t>AXIO7 is production-grade only when a customer-facing forecast can be replayed from immutable point-in-time evidence, beats declared martingale and simple baselines in independent OOS tests, remains calibrated after costs, meets the latency SLO, and automatically refuses to publish when any prerequisite fails.</w:t>
      </w:r>
    </w:p>
    <w:p>
      <w:pPr>
        <w:keepLines/>
        <w:numPr>
          <w:ilvl w:val="0"/>
          <w:numId w:val="25"/>
        </w:numPr>
        <w:spacing w:after="80" w:line="300" w:lineRule="auto"/>
      </w:pPr>
      <w:r>
        <w:rPr>
          <w:rFonts w:ascii="Calibri" w:hAnsi="Calibri" w:eastAsia="Calibri" w:cs="Calibri"/>
          <w:color w:val="111111"/>
          <w:sz w:val="22"/>
        </w:rPr>
        <w:t>One canonical Rust inference path serves staging and production.</w:t>
      </w:r>
    </w:p>
    <w:p>
      <w:pPr>
        <w:keepLines/>
        <w:numPr>
          <w:ilvl w:val="0"/>
          <w:numId w:val="25"/>
        </w:numPr>
        <w:spacing w:after="80" w:line="300" w:lineRule="auto"/>
      </w:pPr>
      <w:r>
        <w:rPr>
          <w:rFonts w:ascii="Calibri" w:hAnsi="Calibri" w:eastAsia="Calibri" w:cs="Calibri"/>
          <w:color w:val="111111"/>
          <w:sz w:val="22"/>
        </w:rPr>
        <w:t>Every forecast and abstention is in the append-only Prediction Ledger.</w:t>
      </w:r>
    </w:p>
    <w:p>
      <w:pPr>
        <w:keepLines/>
        <w:numPr>
          <w:ilvl w:val="0"/>
          <w:numId w:val="25"/>
        </w:numPr>
        <w:spacing w:after="80" w:line="300" w:lineRule="auto"/>
      </w:pPr>
      <w:r>
        <w:rPr>
          <w:rFonts w:ascii="Calibri" w:hAnsi="Calibri" w:eastAsia="Calibri" w:cs="Calibri"/>
          <w:color w:val="111111"/>
          <w:sz w:val="22"/>
        </w:rPr>
        <w:t>All artifacts, schemas, costs, calibration, policies, and approvals are versioned and hash-linked.</w:t>
      </w:r>
    </w:p>
    <w:p>
      <w:pPr>
        <w:keepLines/>
        <w:numPr>
          <w:ilvl w:val="0"/>
          <w:numId w:val="25"/>
        </w:numPr>
        <w:spacing w:after="80" w:line="300" w:lineRule="auto"/>
      </w:pPr>
      <w:r>
        <w:rPr>
          <w:rFonts w:ascii="Calibri" w:hAnsi="Calibri" w:eastAsia="Calibri" w:cs="Calibri"/>
          <w:color w:val="111111"/>
          <w:sz w:val="22"/>
        </w:rPr>
        <w:t>The standard backtest and forward-shadow report is reproducible from a clean environment.</w:t>
      </w:r>
    </w:p>
    <w:p>
      <w:pPr>
        <w:keepLines/>
        <w:numPr>
          <w:ilvl w:val="0"/>
          <w:numId w:val="25"/>
        </w:numPr>
        <w:spacing w:after="80" w:line="300" w:lineRule="auto"/>
      </w:pPr>
      <w:r>
        <w:rPr>
          <w:rFonts w:ascii="Calibri" w:hAnsi="Calibri" w:eastAsia="Calibri" w:cs="Calibri"/>
          <w:color w:val="111111"/>
          <w:sz w:val="22"/>
        </w:rPr>
        <w:t>Customer UI cannot confuse system health, model uncertainty, or estimated positioning with known facts.</w:t>
      </w:r>
    </w:p>
    <w:p>
      <w:pPr>
        <w:keepLines/>
        <w:numPr>
          <w:ilvl w:val="0"/>
          <w:numId w:val="25"/>
        </w:numPr>
        <w:spacing w:after="80" w:line="300" w:lineRule="auto"/>
      </w:pPr>
      <w:r>
        <w:rPr>
          <w:rFonts w:ascii="Calibri" w:hAnsi="Calibri" w:eastAsia="Calibri" w:cs="Calibri"/>
          <w:color w:val="111111"/>
          <w:sz w:val="22"/>
        </w:rPr>
        <w:t>No known Sev-1/2 incident, leakage test failure, missing calibration, silent fallback, or unbounded latency remains open.</w:t>
      </w:r>
    </w:p>
    <w:p>
      <w:pPr>
        <w:pStyle w:val="ListBullet"/>
        <w:spacing w:after="120"/>
        <w:ind w:left="720" w:hanging="360"/>
      </w:pPr>
      <w:r>
        <w:t>Every explicit requested asset produces a result or reason-coded status; no ticker is silently discarded and partial failures are isolated.</w:t>
      </w:r>
    </w:p>
    <w:p>
      <w:pPr>
        <w:pStyle w:val="ListBullet"/>
        <w:spacing w:after="120"/>
        <w:ind w:left="720" w:hanging="360"/>
      </w:pPr>
      <w:r>
        <w:t>Market, sector, industry, and constituent states use versioned point-in-time taxonomies and declared benchmarks/horizons.</w:t>
      </w:r>
    </w:p>
    <w:p>
      <w:pPr>
        <w:pStyle w:val="ListBullet"/>
        <w:spacing w:after="120"/>
        <w:ind w:left="720" w:hanging="360"/>
      </w:pPr>
      <w:r>
        <w:t>Realtime observations, historical manifests, feature snapshots, predictions, abstentions, outcomes, and evaluations are durably stored and recoverable in the AWS data plane.</w:t>
      </w:r>
    </w:p>
    <w:p>
      <w:pPr>
        <w:pStyle w:val="ListBullet"/>
        <w:spacing w:after="120"/>
        <w:ind w:left="720" w:hanging="360"/>
      </w:pPr>
      <w:r>
        <w:t>Customer copy is generated from structured symbol/proxy fields; a direct equity result can never be mislabeled as an SPX/SPY proxy.</w:t>
      </w:r>
    </w:p>
    <w:p>
      <w:pPr>
        <w:pStyle w:val="Heading1"/>
        <w:keepNext/>
      </w:pPr>
      <w:r>
        <w:t>Appendix A. Screenshot Ideas: What to Keep and What to Reject</w:t>
      </w:r>
    </w:p>
    <w:tbl>
      <w:tblPr>
        <w:tblW w:type="dxa" w:w="9360"/>
        <w:tblLayout w:type="fixed"/>
        <w:tblLook w:firstColumn="1" w:firstRow="1" w:lastColumn="0" w:lastRow="0" w:noHBand="0" w:noVBand="1" w:val="04A0"/>
        <w:jc w:val="left"/>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600"/>
        <w:gridCol w:w="3500"/>
        <w:gridCol w:w="3260"/>
      </w:tblGrid>
      <w:tr>
        <w:trPr>
          <w:tblHeader w:val="true"/>
        </w:trPr>
        <w:tc>
          <w:tcPr>
            <w:tcW w:type="dxa" w:w="2600"/>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6"/>
              </w:rPr>
              <w:t>Idea from supplied material</w:t>
            </w:r>
          </w:p>
        </w:tc>
        <w:tc>
          <w:tcPr>
            <w:tcW w:type="dxa" w:w="3500"/>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6"/>
              </w:rPr>
              <w:t>Keep</w:t>
            </w:r>
          </w:p>
        </w:tc>
        <w:tc>
          <w:tcPr>
            <w:tcW w:type="dxa" w:w="3260"/>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6"/>
              </w:rPr>
              <w:t>Reject / limit</w:t>
            </w:r>
          </w:p>
        </w:tc>
      </w:tr>
      <w:tr>
        <w:tc>
          <w:tcPr>
            <w:tcW w:type="dxa" w:w="2600"/>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Expectancy formula</w:t>
            </w:r>
          </w:p>
        </w:tc>
        <w:tc>
          <w:tcPr>
            <w:tcW w:type="dxa" w:w="3500"/>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Use cost-adjusted expectancy with confidence intervals</w:t>
            </w:r>
          </w:p>
        </w:tc>
        <w:tc>
          <w:tcPr>
            <w:tcW w:type="dxa" w:w="3260"/>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Raw win rate or average return without denominators</w:t>
            </w:r>
          </w:p>
        </w:tc>
      </w:tr>
      <w:tr>
        <w:tc>
          <w:tcPr>
            <w:tcW w:type="dxa" w:w="26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khQuant natural-language workflow</w:t>
            </w:r>
          </w:p>
        </w:tc>
        <w:tc>
          <w:tcPr>
            <w:tcW w:type="dxa" w:w="35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Typed research-plan generation and reproducible reports</w:t>
            </w:r>
          </w:p>
        </w:tc>
        <w:tc>
          <w:tcPr>
            <w:tcW w:type="dxa" w:w="326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Assuming generated code or a backtest framework creates alpha</w:t>
            </w:r>
          </w:p>
        </w:tc>
      </w:tr>
      <w:tr>
        <w:tc>
          <w:tcPr>
            <w:tcW w:type="dxa" w:w="2600"/>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Long/short convergence diagram</w:t>
            </w:r>
          </w:p>
        </w:tc>
        <w:tc>
          <w:tcPr>
            <w:tcW w:type="dxa" w:w="3500"/>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Relative-value module with point-in-time cointegration/stability tests</w:t>
            </w:r>
          </w:p>
        </w:tc>
        <w:tc>
          <w:tcPr>
            <w:tcW w:type="dxa" w:w="3260"/>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Visual convergence story without borrow, basis, or break-risk model</w:t>
            </w:r>
          </w:p>
        </w:tc>
      </w:tr>
      <w:tr>
        <w:tc>
          <w:tcPr>
            <w:tcW w:type="dxa" w:w="26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TradingAgents multi-agent framework</w:t>
            </w:r>
          </w:p>
        </w:tc>
        <w:tc>
          <w:tcPr>
            <w:tcW w:type="dxa" w:w="35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Research orchestration, independent checks, evidence routing</w:t>
            </w:r>
          </w:p>
        </w:tc>
        <w:tc>
          <w:tcPr>
            <w:tcW w:type="dxa" w:w="326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LLM voting as a substitute for independent data and validation</w:t>
            </w:r>
          </w:p>
        </w:tc>
      </w:tr>
      <w:tr>
        <w:tc>
          <w:tcPr>
            <w:tcW w:type="dxa" w:w="2600"/>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Celebrity large put trade</w:t>
            </w:r>
          </w:p>
        </w:tc>
        <w:tc>
          <w:tcPr>
            <w:tcW w:type="dxa" w:w="3500"/>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Public filing/position can become an event feature with known timestamp</w:t>
            </w:r>
          </w:p>
        </w:tc>
        <w:tc>
          <w:tcPr>
            <w:tcW w:type="dxa" w:w="3260"/>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Copying a famous investor without horizon, sizing, and portfolio context</w:t>
            </w:r>
          </w:p>
        </w:tc>
      </w:tr>
      <w:tr>
        <w:tc>
          <w:tcPr>
            <w:tcW w:type="dxa" w:w="26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Claude + TradingView</w:t>
            </w:r>
          </w:p>
        </w:tc>
        <w:tc>
          <w:tcPr>
            <w:tcW w:type="dxa" w:w="35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Alerting, chart context, research automation</w:t>
            </w:r>
          </w:p>
        </w:tc>
        <w:tc>
          <w:tcPr>
            <w:tcW w:type="dxa" w:w="326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LLM-directed execution or unverified Yahoo/TradingView data as production truth</w:t>
            </w:r>
          </w:p>
        </w:tc>
      </w:tr>
      <w:tr>
        <w:tc>
          <w:tcPr>
            <w:tcW w:type="dxa" w:w="2600"/>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K-line analysis app tech stack</w:t>
            </w:r>
          </w:p>
        </w:tc>
        <w:tc>
          <w:tcPr>
            <w:tcW w:type="dxa" w:w="3500"/>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Product analytics, acquisition attribution, reliable app architecture</w:t>
            </w:r>
          </w:p>
        </w:tc>
        <w:tc>
          <w:tcPr>
            <w:tcW w:type="dxa" w:w="3260"/>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Mistaking polished UI or revenue for forecast validity</w:t>
            </w:r>
          </w:p>
        </w:tc>
      </w:tr>
      <w:tr>
        <w:tc>
          <w:tcPr>
            <w:tcW w:type="dxa" w:w="26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Machine learning on market data</w:t>
            </w:r>
          </w:p>
        </w:tc>
        <w:tc>
          <w:tcPr>
            <w:tcW w:type="dxa" w:w="35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Causal features, rigorous OOS protocol, calibrated uncertainty</w:t>
            </w:r>
          </w:p>
        </w:tc>
        <w:tc>
          <w:tcPr>
            <w:tcW w:type="dxa" w:w="326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6"/>
              </w:rPr>
              <w:t>Training a model on raw candles and presenting fitted noise as foresight</w:t>
            </w:r>
          </w:p>
        </w:tc>
      </w:tr>
    </w:tbl>
    <w:p>
      <w:pPr>
        <w:spacing w:after="40"/>
      </w:pPr>
    </w:p>
    <w:p>
      <w:pPr>
        <w:pStyle w:val="Heading1"/>
        <w:keepNext/>
      </w:pPr>
      <w:r>
        <w:t>Appendix B. Standard Experiment Card</w:t>
      </w:r>
    </w:p>
    <w:tbl>
      <w:tblPr>
        <w:tblW w:type="dxa" w:w="9360"/>
        <w:tblLayout w:type="fixed"/>
        <w:tblLook w:firstColumn="1" w:firstRow="1" w:lastColumn="0" w:lastRow="0" w:noHBand="0" w:noVBand="1" w:val="04A0"/>
        <w:jc w:val="left"/>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200"/>
        <w:gridCol w:w="7160"/>
      </w:tblGrid>
      <w:tr>
        <w:trPr>
          <w:tblHeader w:val="true"/>
        </w:trPr>
        <w:tc>
          <w:tcPr>
            <w:tcW w:type="dxa" w:w="2200"/>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7"/>
              </w:rPr>
              <w:t>Field</w:t>
            </w:r>
          </w:p>
        </w:tc>
        <w:tc>
          <w:tcPr>
            <w:tcW w:type="dxa" w:w="7160"/>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7"/>
              </w:rPr>
              <w:t>Required content</w:t>
            </w:r>
          </w:p>
        </w:tc>
      </w:tr>
      <w:tr>
        <w:tc>
          <w:tcPr>
            <w:tcW w:type="dxa" w:w="22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Hypothesis</w:t>
            </w:r>
          </w:p>
        </w:tc>
        <w:tc>
          <w:tcPr>
            <w:tcW w:type="dxa" w:w="716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Falsifiable conditional claim and economic mechanism</w:t>
            </w:r>
          </w:p>
        </w:tc>
      </w:tr>
      <w:tr>
        <w:tc>
          <w:tcPr>
            <w:tcW w:type="dxa" w:w="22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Universe/horizon</w:t>
            </w:r>
          </w:p>
        </w:tc>
        <w:tc>
          <w:tcPr>
            <w:tcW w:type="dxa" w:w="716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Eligible symbols, session buckets, 5/15/30/60m target</w:t>
            </w:r>
          </w:p>
        </w:tc>
      </w:tr>
      <w:tr>
        <w:tc>
          <w:tcPr>
            <w:tcW w:type="dxa" w:w="22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Data</w:t>
            </w:r>
          </w:p>
        </w:tc>
        <w:tc>
          <w:tcPr>
            <w:tcW w:type="dxa" w:w="716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Point-in-time sources, schema versions, cutoff/finality rules</w:t>
            </w:r>
          </w:p>
        </w:tc>
      </w:tr>
      <w:tr>
        <w:tc>
          <w:tcPr>
            <w:tcW w:type="dxa" w:w="22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Features</w:t>
            </w:r>
          </w:p>
        </w:tc>
        <w:tc>
          <w:tcPr>
            <w:tcW w:type="dxa" w:w="716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Feature-set version, availability timestamps, missingness</w:t>
            </w:r>
          </w:p>
        </w:tc>
      </w:tr>
      <w:tr>
        <w:tc>
          <w:tcPr>
            <w:tcW w:type="dxa" w:w="22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Label/cost</w:t>
            </w:r>
          </w:p>
        </w:tc>
        <w:tc>
          <w:tcPr>
            <w:tcW w:type="dxa" w:w="716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Label version, executable reference, spread/slippage/fees/latency</w:t>
            </w:r>
          </w:p>
        </w:tc>
      </w:tr>
      <w:tr>
        <w:tc>
          <w:tcPr>
            <w:tcW w:type="dxa" w:w="22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Validation</w:t>
            </w:r>
          </w:p>
        </w:tc>
        <w:tc>
          <w:tcPr>
            <w:tcW w:type="dxa" w:w="716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Walk-forward folds, purge/embargo, final holdout, shadow window</w:t>
            </w:r>
          </w:p>
        </w:tc>
      </w:tr>
      <w:tr>
        <w:tc>
          <w:tcPr>
            <w:tcW w:type="dxa" w:w="22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Metrics</w:t>
            </w:r>
          </w:p>
        </w:tc>
        <w:tc>
          <w:tcPr>
            <w:tcW w:type="dxa" w:w="716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Baseline deltas, calibration, CRPS/Brier, net expectancy, tails</w:t>
            </w:r>
          </w:p>
        </w:tc>
      </w:tr>
      <w:tr>
        <w:tc>
          <w:tcPr>
            <w:tcW w:type="dxa" w:w="22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Controls</w:t>
            </w:r>
          </w:p>
        </w:tc>
        <w:tc>
          <w:tcPr>
            <w:tcW w:type="dxa" w:w="716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Shuffle, time shift, ablations, cost stress, FDR</w:t>
            </w:r>
          </w:p>
        </w:tc>
      </w:tr>
      <w:tr>
        <w:tc>
          <w:tcPr>
            <w:tcW w:type="dxa" w:w="22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Decision</w:t>
            </w:r>
          </w:p>
        </w:tc>
        <w:tc>
          <w:tcPr>
            <w:tcW w:type="dxa" w:w="716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Reject/candidate/shadow/promote/retire with approver and reason</w:t>
            </w:r>
          </w:p>
        </w:tc>
      </w:tr>
    </w:tbl>
    <w:p>
      <w:pPr>
        <w:spacing w:after="40"/>
      </w:pPr>
    </w:p>
    <w:p>
      <w:r>
        <w:br w:type="page"/>
      </w:r>
    </w:p>
    <w:p>
      <w:pPr>
        <w:spacing w:after="160"/>
      </w:pPr>
    </w:p>
    <w:p>
      <w:pPr>
        <w:pStyle w:val="Heading2"/>
        <w:keepNext w:val="0"/>
      </w:pPr>
      <w:r>
        <w:t>Appendix C. Requirement Priority</w:t>
      </w:r>
    </w:p>
    <w:tbl>
      <w:tblPr>
        <w:tblW w:type="dxa" w:w="9360"/>
        <w:tblLayout w:type="fixed"/>
        <w:tblLook w:firstColumn="1" w:firstRow="1" w:lastColumn="0" w:lastRow="0" w:noHBand="0" w:noVBand="1" w:val="04A0"/>
        <w:jc w:val="left"/>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200"/>
        <w:gridCol w:w="3500"/>
        <w:gridCol w:w="4660"/>
      </w:tblGrid>
      <w:tr>
        <w:trPr>
          <w:tblHeader w:val="true"/>
        </w:trPr>
        <w:tc>
          <w:tcPr>
            <w:tcW w:type="dxa" w:w="1200"/>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7"/>
              </w:rPr>
              <w:t>Priority</w:t>
            </w:r>
          </w:p>
        </w:tc>
        <w:tc>
          <w:tcPr>
            <w:tcW w:type="dxa" w:w="3500"/>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7"/>
              </w:rPr>
              <w:t>Definition</w:t>
            </w:r>
          </w:p>
        </w:tc>
        <w:tc>
          <w:tcPr>
            <w:tcW w:type="dxa" w:w="4660"/>
            <w:tcMar>
              <w:top w:w="80" w:type="dxa"/>
              <w:start w:w="120" w:type="dxa"/>
              <w:bottom w:w="80" w:type="dxa"/>
              <w:end w:w="120" w:type="dxa"/>
            </w:tcMar>
            <w:vAlign w:val="center"/>
            <w:shd w:fill="E8EEF5"/>
          </w:tcPr>
          <w:p>
            <w:pPr>
              <w:spacing w:after="0"/>
              <w:jc w:val="left"/>
            </w:pPr>
            <w:r>
              <w:rPr>
                <w:rFonts w:ascii="Calibri" w:hAnsi="Calibri" w:eastAsia="Calibri" w:cs="Calibri"/>
                <w:b/>
                <w:color w:val="0B2545"/>
                <w:sz w:val="17"/>
              </w:rPr>
              <w:t>Examples</w:t>
            </w:r>
          </w:p>
        </w:tc>
      </w:tr>
      <w:tr>
        <w:tc>
          <w:tcPr>
            <w:tcW w:type="dxa" w:w="12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P0</w:t>
            </w:r>
          </w:p>
        </w:tc>
        <w:tc>
          <w:tcPr>
            <w:tcW w:type="dxa" w:w="35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Required for truthful operation</w:t>
            </w:r>
          </w:p>
        </w:tc>
        <w:tc>
          <w:tcPr>
            <w:tcW w:type="dxa" w:w="466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Causal cutoff, calibration, promotion, ledger, fail-closed, SLA</w:t>
            </w:r>
          </w:p>
        </w:tc>
      </w:tr>
      <w:tr>
        <w:tc>
          <w:tcPr>
            <w:tcW w:type="dxa" w:w="12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P1</w:t>
            </w:r>
          </w:p>
        </w:tc>
        <w:tc>
          <w:tcPr>
            <w:tcW w:type="dxa" w:w="35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Required for useful initial edge research</w:t>
            </w:r>
          </w:p>
        </w:tc>
        <w:tc>
          <w:tcPr>
            <w:tcW w:type="dxa" w:w="466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Baselines, costs, HMM/kernel validation, OOD, microstructure</w:t>
            </w:r>
          </w:p>
        </w:tc>
      </w:tr>
      <w:tr>
        <w:tc>
          <w:tcPr>
            <w:tcW w:type="dxa" w:w="12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P2</w:t>
            </w:r>
          </w:p>
        </w:tc>
        <w:tc>
          <w:tcPr>
            <w:tcW w:type="dxa" w:w="350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High-value expansion after P0/P1</w:t>
            </w:r>
          </w:p>
        </w:tc>
        <w:tc>
          <w:tcPr>
            <w:tcW w:type="dxa" w:w="4660"/>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Options surface, gamma estimates, event atlas, cross-asset</w:t>
            </w:r>
          </w:p>
        </w:tc>
      </w:tr>
      <w:tr>
        <w:tc>
          <w:tcPr>
            <w:tcW w:type="dxa" w:w="12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P3</w:t>
            </w:r>
          </w:p>
        </w:tc>
        <w:tc>
          <w:tcPr>
            <w:tcW w:type="dxa" w:w="350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Advanced expansion</w:t>
            </w:r>
          </w:p>
        </w:tc>
        <w:tc>
          <w:tcPr>
            <w:tcW w:type="dxa" w:w="4660"/>
            <w:shd w:fill="FAFBFC"/>
            <w:tcMar>
              <w:top w:w="80" w:type="dxa"/>
              <w:start w:w="120" w:type="dxa"/>
              <w:bottom w:w="80" w:type="dxa"/>
              <w:end w:w="120" w:type="dxa"/>
            </w:tcMar>
            <w:vAlign w:val="center"/>
          </w:tcPr>
          <w:p>
            <w:pPr>
              <w:spacing w:after="0" w:line="259" w:lineRule="auto"/>
            </w:pPr>
            <w:r>
              <w:rPr>
                <w:rFonts w:ascii="Calibri" w:hAnsi="Calibri" w:eastAsia="Calibri" w:cs="Calibri"/>
                <w:color w:val="111111"/>
                <w:sz w:val="17"/>
              </w:rPr>
              <w:t>Pairs, deep learning, broad agent automation</w:t>
            </w:r>
          </w:p>
        </w:tc>
      </w:tr>
    </w:tbl>
    <w:p>
      <w:pPr>
        <w:spacing w:after="40"/>
      </w:pPr>
    </w:p>
    <w:p>
      <w:pPr>
        <w:spacing w:after="0" w:line="300" w:lineRule="auto"/>
      </w:pPr>
      <w:r>
        <w:t>Document basis: consolidated AXIO7/Argus project decisions, current production code paths, the user-provided multi-asset chat screenshot, existing model and data contracts, and the v1.0 industrial PRD as of 1 August 2026. This document is a product and engineering specification; it is not proof of investment performance or investment advice.</w:t>
      </w:r>
    </w:p>
    <w:sectPr w:rsidR="00FC693F" w:rsidRPr="0006063C" w:rsidSect="00034616">
      <w:headerReference w:type="default" r:id="rId9"/>
      <w:footerReference w:type="default" r:id="rId10"/>
      <w:pgSz w:w="12240" w:h="15840"/>
      <w:pgMar w:top="1152"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s="Calibri"/>
        <w:color w:val="5E6772"/>
        <w:sz w:val="17"/>
      </w:rPr>
      <w:t xml:space="preserve">Internal Engineering Specification  |  Page </w:t>
    </w:r>
    <w:r>
      <w:rPr>
        <w:rFonts w:ascii="Calibri" w:hAnsi="Calibri" w:eastAsia="Calibri" w:cs="Calibri"/>
        <w:color w:val="5E6772"/>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s="Calibri"/>
        <w:b/>
        <w:color w:val="5E6772"/>
        <w:sz w:val="17"/>
      </w:rPr>
      <w:t>AXIO7 | INDUSTRIAL MARKET FORECASTING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lvl>
  </w:abstractNum>
  <w:num w:numId="10">
    <w:abstractNumId w:val="9"/>
  </w:num>
  <w:abstractNum w:abstractNumId="10">
    <w:multiLevelType w:val="singleLevel"/>
    <w:lvl w:ilvl="0">
      <w:start w:val="1"/>
      <w:numFmt w:val="bullet"/>
      <w:lvlText w:val="•"/>
      <w:suff w:val="tab"/>
      <w:pPr>
        <w:tabs>
          <w:tab w:val="num" w:pos="540"/>
        </w:tabs>
        <w:ind w:left="540" w:hanging="270"/>
      </w:pPr>
    </w:lvl>
  </w:abstractNum>
  <w:num w:numId="11">
    <w:abstractNumId w:val="10"/>
  </w:num>
  <w:abstractNum w:abstractNumId="11">
    <w:multiLevelType w:val="singleLevel"/>
    <w:lvl w:ilvl="0">
      <w:start w:val="1"/>
      <w:numFmt w:val="bullet"/>
      <w:lvlText w:val="•"/>
      <w:suff w:val="tab"/>
      <w:pPr>
        <w:tabs>
          <w:tab w:val="num" w:pos="540"/>
        </w:tabs>
        <w:ind w:left="540" w:hanging="270"/>
      </w:pPr>
    </w:lvl>
  </w:abstractNum>
  <w:num w:numId="12">
    <w:abstractNumId w:val="11"/>
  </w:num>
  <w:abstractNum w:abstractNumId="12">
    <w:multiLevelType w:val="singleLevel"/>
    <w:lvl w:ilvl="0">
      <w:start w:val="1"/>
      <w:numFmt w:val="bullet"/>
      <w:lvlText w:val="•"/>
      <w:suff w:val="tab"/>
      <w:pPr>
        <w:tabs>
          <w:tab w:val="num" w:pos="540"/>
        </w:tabs>
        <w:ind w:left="540" w:hanging="270"/>
      </w:pPr>
    </w:lvl>
  </w:abstractNum>
  <w:num w:numId="13">
    <w:abstractNumId w:val="12"/>
  </w:num>
  <w:abstractNum w:abstractNumId="13">
    <w:multiLevelType w:val="singleLevel"/>
    <w:lvl w:ilvl="0">
      <w:start w:val="1"/>
      <w:numFmt w:val="bullet"/>
      <w:lvlText w:val="•"/>
      <w:suff w:val="tab"/>
      <w:pPr>
        <w:tabs>
          <w:tab w:val="num" w:pos="540"/>
        </w:tabs>
        <w:ind w:left="540" w:hanging="270"/>
      </w:pPr>
    </w:lvl>
  </w:abstractNum>
  <w:num w:numId="14">
    <w:abstractNumId w:val="13"/>
  </w:num>
  <w:abstractNum w:abstractNumId="14">
    <w:multiLevelType w:val="singleLevel"/>
    <w:lvl w:ilvl="0">
      <w:start w:val="1"/>
      <w:numFmt w:val="bullet"/>
      <w:lvlText w:val="•"/>
      <w:suff w:val="tab"/>
      <w:pPr>
        <w:tabs>
          <w:tab w:val="num" w:pos="540"/>
        </w:tabs>
        <w:ind w:left="540" w:hanging="270"/>
      </w:pPr>
    </w:lvl>
  </w:abstractNum>
  <w:num w:numId="15">
    <w:abstractNumId w:val="14"/>
  </w:num>
  <w:abstractNum w:abstractNumId="15">
    <w:multiLevelType w:val="singleLevel"/>
    <w:lvl w:ilvl="0">
      <w:start w:val="1"/>
      <w:numFmt w:val="bullet"/>
      <w:lvlText w:val="•"/>
      <w:suff w:val="tab"/>
      <w:pPr>
        <w:tabs>
          <w:tab w:val="num" w:pos="540"/>
        </w:tabs>
        <w:ind w:left="540" w:hanging="270"/>
      </w:pPr>
    </w:lvl>
  </w:abstractNum>
  <w:num w:numId="16">
    <w:abstractNumId w:val="15"/>
  </w:num>
  <w:abstractNum w:abstractNumId="16">
    <w:multiLevelType w:val="singleLevel"/>
    <w:lvl w:ilvl="0">
      <w:start w:val="1"/>
      <w:numFmt w:val="bullet"/>
      <w:lvlText w:val="•"/>
      <w:suff w:val="tab"/>
      <w:pPr>
        <w:tabs>
          <w:tab w:val="num" w:pos="540"/>
        </w:tabs>
        <w:ind w:left="540" w:hanging="270"/>
      </w:pPr>
    </w:lvl>
  </w:abstractNum>
  <w:num w:numId="17">
    <w:abstractNumId w:val="16"/>
  </w:num>
  <w:abstractNum w:abstractNumId="17">
    <w:multiLevelType w:val="singleLevel"/>
    <w:lvl w:ilvl="0">
      <w:start w:val="1"/>
      <w:numFmt w:val="decimal"/>
      <w:lvlText w:val="%1."/>
      <w:suff w:val="tab"/>
      <w:pPr>
        <w:tabs>
          <w:tab w:val="num" w:pos="540"/>
        </w:tabs>
        <w:ind w:left="540" w:hanging="270"/>
      </w:pPr>
    </w:lvl>
  </w:abstractNum>
  <w:num w:numId="18">
    <w:abstractNumId w:val="17"/>
  </w:num>
  <w:abstractNum w:abstractNumId="18">
    <w:multiLevelType w:val="singleLevel"/>
    <w:lvl w:ilvl="0">
      <w:start w:val="1"/>
      <w:numFmt w:val="bullet"/>
      <w:lvlText w:val="•"/>
      <w:suff w:val="tab"/>
      <w:pPr>
        <w:tabs>
          <w:tab w:val="num" w:pos="540"/>
        </w:tabs>
        <w:ind w:left="540" w:hanging="270"/>
      </w:pPr>
    </w:lvl>
  </w:abstractNum>
  <w:num w:numId="19">
    <w:abstractNumId w:val="18"/>
  </w:num>
  <w:abstractNum w:abstractNumId="19">
    <w:multiLevelType w:val="singleLevel"/>
    <w:lvl w:ilvl="0">
      <w:start w:val="1"/>
      <w:numFmt w:val="bullet"/>
      <w:lvlText w:val="•"/>
      <w:suff w:val="tab"/>
      <w:pPr>
        <w:tabs>
          <w:tab w:val="num" w:pos="540"/>
        </w:tabs>
        <w:ind w:left="540" w:hanging="270"/>
      </w:pPr>
    </w:lvl>
  </w:abstractNum>
  <w:num w:numId="20">
    <w:abstractNumId w:val="19"/>
  </w:num>
  <w:abstractNum w:abstractNumId="20">
    <w:multiLevelType w:val="singleLevel"/>
    <w:lvl w:ilvl="0">
      <w:start w:val="1"/>
      <w:numFmt w:val="bullet"/>
      <w:lvlText w:val="•"/>
      <w:suff w:val="tab"/>
      <w:pPr>
        <w:tabs>
          <w:tab w:val="num" w:pos="540"/>
        </w:tabs>
        <w:ind w:left="540" w:hanging="270"/>
      </w:pPr>
    </w:lvl>
  </w:abstractNum>
  <w:num w:numId="21">
    <w:abstractNumId w:val="20"/>
  </w:num>
  <w:abstractNum w:abstractNumId="21">
    <w:multiLevelType w:val="singleLevel"/>
    <w:lvl w:ilvl="0">
      <w:start w:val="1"/>
      <w:numFmt w:val="bullet"/>
      <w:lvlText w:val="•"/>
      <w:suff w:val="tab"/>
      <w:pPr>
        <w:tabs>
          <w:tab w:val="num" w:pos="540"/>
        </w:tabs>
        <w:ind w:left="540" w:hanging="270"/>
      </w:pPr>
    </w:lvl>
  </w:abstractNum>
  <w:num w:numId="22">
    <w:abstractNumId w:val="21"/>
  </w:num>
  <w:abstractNum w:abstractNumId="22">
    <w:multiLevelType w:val="singleLevel"/>
    <w:lvl w:ilvl="0">
      <w:start w:val="1"/>
      <w:numFmt w:val="bullet"/>
      <w:lvlText w:val="•"/>
      <w:suff w:val="tab"/>
      <w:pPr>
        <w:tabs>
          <w:tab w:val="num" w:pos="540"/>
        </w:tabs>
        <w:ind w:left="540" w:hanging="270"/>
      </w:pPr>
    </w:lvl>
  </w:abstractNum>
  <w:num w:numId="23">
    <w:abstractNumId w:val="22"/>
  </w:num>
  <w:abstractNum w:abstractNumId="23">
    <w:multiLevelType w:val="singleLevel"/>
    <w:lvl w:ilvl="0">
      <w:start w:val="1"/>
      <w:numFmt w:val="decimal"/>
      <w:lvlText w:val="%1."/>
      <w:suff w:val="tab"/>
      <w:pPr>
        <w:tabs>
          <w:tab w:val="num" w:pos="540"/>
        </w:tabs>
        <w:ind w:left="540" w:hanging="270"/>
      </w:pPr>
    </w:lvl>
  </w:abstractNum>
  <w:num w:numId="24">
    <w:abstractNumId w:val="23"/>
  </w:num>
  <w:abstractNum w:abstractNumId="24">
    <w:multiLevelType w:val="singleLevel"/>
    <w:lvl w:ilvl="0">
      <w:start w:val="1"/>
      <w:numFmt w:val="bullet"/>
      <w:lvlText w:val="•"/>
      <w:suff w:val="tab"/>
      <w:pPr>
        <w:tabs>
          <w:tab w:val="num" w:pos="540"/>
        </w:tabs>
        <w:ind w:left="540" w:hanging="270"/>
      </w:pPr>
    </w:lvl>
  </w:abstract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ind w:left="1008" w:hanging="271"/>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ID">
    <w:name w:val="Requirement ID"/>
    <w:pPr>
      <w:spacing w:after="60"/>
    </w:pPr>
    <w:rPr>
      <w:rFonts w:ascii="Calibri" w:hAnsi="Calibri"/>
      <w:b/>
      <w:color w:val="0B254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AXIO7 Industrial Multi-Asset Market Forecasting System PRD</dc:title>
  <dc:subject>Production-grade multi-asset forecasting, sector rotation, AWS persistence, and evidence contracts</dc:subject>
  <dc:creator>Guantao (Erwin) He / AXIO7</dc:creator>
  <cp:keywords>AXIO7, market forecasting, multi-asset, sector rotation, AWS, martingale, PRD</cp:keywords>
  <dc:description>Version 2.0 extends v1.0 with incident diagnosis and industrial multi-asset/data requirements.</dc:description>
  <cp:lastModifiedBy/>
  <cp:revision>1</cp:revision>
  <dcterms:created xsi:type="dcterms:W3CDTF">2013-12-23T23:15:00Z</dcterms:created>
  <dcterms:modified xsi:type="dcterms:W3CDTF">2013-12-23T23:15:00Z</dcterms:modified>
  <cp:category/>
</cp:coreProperties>
</file>