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EXPEDIENTE TÉCNICO Y PERFIL DE PROYECTO DE ESPACIO PÚBLICO</w:t>
      </w:r>
    </w:p>
    <w:p>
      <w:pPr>
        <w:pStyle w:val="Subtitle"/>
      </w:pPr>
      <w:r>
        <w:t xml:space="preserve">Estructura Operativa y Guía de Formulación conforme a la Guía Estratégica: Cambio de Paradigma en la Planificación Territorial aplicado al Espacio Público (MIT - Viceministerio de Desarrollo Urbano Sostenible y Vivienda / GIZ Ecuador - CIS II)</w:t>
      </w:r>
    </w:p>
    <w:p>
      <w:pPr>
        <w:pStyle w:val="Author"/>
      </w:pPr>
      <w:r>
        <w:t xml:space="preserve">Equipo Técnico Interdisciplinario (Economía &amp; Arquitectura - UNL)</w:t>
      </w:r>
    </w:p>
    <w:p>
      <w:pPr>
        <w:pStyle w:val="Date"/>
      </w:pPr>
      <w:r>
        <w:t xml:space="preserve">2026-10-26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jc w:val="center"/>
            <w:spacing w:before="120" w:after="240"/>
          </w:pPr>
          <w:r>
            <w:rPr>
              <w:rFonts w:ascii="Times New Roman" w:hAnsi="Times New Roman" w:cs="Times New Roman"/>
              <w:b/>
              <w:sz w:val="24"/>
              <w:szCs w:val="24"/>
              <w:color w:val="000000"/>
            </w:rPr>
            <w:t>Índice de Contenido</w:t>
          </w:r>
        </w:p>
        <w:p>
          <w:r>
            <w:fldChar w:fldCharType="begin" w:dirty="true"/>
            <w:instrText xml:space="preserve"> TOC \o "1-3" \h \z \u </w:instrText>
            <w:fldChar w:fldCharType="separate"/>
            <w:fldChar w:fldCharType="end"/>
          </w:r>
        </w:p>
        <w:p>
          <w:r>
            <w:br w:type="page"/>
          </w:r>
        </w:p>
      </w:sdtContent>
    </w:sdt>
    <w:bookmarkStart w:id="9" w:name="X251cc4bc6dfe4ae4dc75a8013ded2750b353af1"/>
    <w:p>
      <w:pPr>
        <w:pStyle w:val="Heading1"/>
        <w:ind w:firstLine="0"/>
      </w:pPr>
      <w:r>
        <w:rPr>
          <w:rFonts w:ascii="Times New Roman" w:hAnsi="Times New Roman"/>
          <w:color w:val="000000"/>
        </w:rPr>
        <w:t xml:space="preserve">Presentación y Marco Metodológico GIZ / MIT</w:t>
      </w:r>
    </w:p>
    <w:p>
      <w:pPr>
        <w:pStyle w:val="FirstParagraph"/>
        <w:spacing w:line="360" w:lineRule="auto" w:before="0" w:after="0"/>
        <w:ind w:firstLine="720"/>
        <w:jc w:val="both"/>
      </w:pPr>
      <w:r>
        <w:rPr>
          <w:rFonts w:ascii="Times New Roman" w:hAnsi="Times New Roman"/>
          <w:color w:val="000000"/>
          <w:sz w:val="24"/>
        </w:rPr>
        <w:t xml:space="preserve">La presente plantilla institucional constituye el instrumento técnico exigido para la estructuración del expediente técnico y perfil de proyectos urbanos según la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Guía Estratégica: Cambio de Paradigma en la Planificación Territorial aplicado al Espacio Público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(Ministerio de Infraestructura y Transporte [MIT], Viceministerio de Desarrollo Urbano Sostenible y Vivienda, y Deutsche Gesellschaft für Internationale Zusammenarbeit [GIZ], 2025).</w:t>
      </w:r>
    </w:p>
    <w:p>
      <w:pPr>
        <w:pStyle w:val="BodyText"/>
        <w:spacing w:line="360" w:lineRule="auto" w:before="0" w:after="0"/>
        <w:ind w:firstLine="720"/>
        <w:jc w:val="both"/>
      </w:pPr>
      <w:r>
        <w:rPr>
          <w:rFonts w:ascii="Times New Roman" w:hAnsi="Times New Roman"/>
          <w:color w:val="000000"/>
          <w:sz w:val="24"/>
        </w:rPr>
        <w:t xml:space="preserve">El propósito central de este marco es superar el paradigma tradicional de obras aisladas (</w:t>
      </w:r>
      <w:r>
        <w:rPr>
          <w:rFonts w:ascii="Times New Roman" w:hAnsi="Times New Roman"/>
          <w:i/>
          <w:iCs/>
          <w:color w:val="000000"/>
          <w:sz w:val="24"/>
        </w:rPr>
        <w:t xml:space="preserve">plan-obra-abandono</w:t>
      </w:r>
      <w:r>
        <w:rPr>
          <w:rFonts w:ascii="Times New Roman" w:hAnsi="Times New Roman"/>
          <w:color w:val="000000"/>
          <w:sz w:val="24"/>
        </w:rPr>
        <w:t xml:space="preserve">), reemplazándolo por un enfoque sistémico de red, derechos ciudadanos y ciclo de vida integral (Planificación</w:t>
      </w:r>
      <w:r>
        <w:rPr>
          <w:rFonts w:ascii="Times New Roman" w:hAnsi="Times New Roman"/>
          <w:color w:val="000000"/>
          <w:sz w:val="24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Diseño</w:t>
      </w:r>
      <w:r>
        <w:rPr>
          <w:rFonts w:ascii="Times New Roman" w:hAnsi="Times New Roman"/>
          <w:color w:val="000000"/>
          <w:sz w:val="24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Implementación</w:t>
      </w:r>
      <w:r>
        <w:rPr>
          <w:rFonts w:ascii="Times New Roman" w:hAnsi="Times New Roman"/>
          <w:color w:val="000000"/>
          <w:sz w:val="24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Puesta en servicio</w:t>
      </w:r>
      <w:r>
        <w:rPr>
          <w:rFonts w:ascii="Times New Roman" w:hAnsi="Times New Roman"/>
          <w:color w:val="000000"/>
          <w:sz w:val="24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Gestión y Monitoreo). Los campos delimitados entre corchetes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[Completar: ...]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representan los registros específicos que deben ser completados por el equipo formulador a partir de los levantamientos de campo, microdatos censales (INEC CPV 2022) y el anteproyecto urbano.</w:t>
      </w:r>
    </w:p>
    <w:bookmarkEnd w:id="9"/>
    <w:bookmarkStart w:id="17" w:name="X25a885e34b47ff05c680d3e19b9ae6e44fb29db"/>
    <w:p>
      <w:pPr>
        <w:pStyle w:val="Heading1"/>
        <w:ind w:firstLine="0"/>
      </w:pPr>
      <w:r>
        <w:rPr>
          <w:rFonts w:ascii="Times New Roman" w:hAnsi="Times New Roman"/>
          <w:color w:val="000000"/>
        </w:rPr>
        <w:t xml:space="preserve">Ficha de Proyecto (Project Factsheet) y Trazabilidad en Cascada</w:t>
      </w:r>
    </w:p>
    <w:bookmarkStart w:id="11" w:name="Xfaf5769bf620919ec256d463c36f32ac2af8557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Identificación General del Proyecto y Localización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Tabla 1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Identificación general del proyecto y localización político-administrativa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Parámetro Institucional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Registro Técnico / Evidencia Territorial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Nombre Oficial del Proyecto: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Ej. Intervención Integral, Movilidad Activa y Resiliencia Hídrica en el Barrio El Capulí]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Código de Registro Territorial / Expediente: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Ej. GAD-LOJA-CIS-II-2026-001]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Entidad Proponente y Promotora: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GAD Municipal de Loja en articulación técnica con la Universidad Nacional de Loja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Nivel Territorial / Jurisdicción: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Ecuador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Provincia de Loja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Cantón Loja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Parroquia Punzara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Sector El Capulí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Coordenadas Georreferenciadas (WGS84 / UTM 17S):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Coordenadas Centroide X: ... , Y: ... / Polígono Shapefile en QGIS]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Área de Intervención Directa: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Superficie en hectáreas / m² del polígono de obra prioritaria]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Área de Influencia Indirecta: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Hectáreas de cuenca urbana y buffer de caminabilidad (5-15 min)]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Población Beneficiaria Directa (Habitantes):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Residentes desagregados por sexo, niñez, adultos mayores y PcD]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Población Beneficiaria Flotante / Indirecta: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Usuarios del campus UNL La Argelia, estudiantes y peatones del corredor]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Horizonte Temporal del Proyecto: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Formulación: 2026 | Ejecución: 2027 | Operación: 2028 | Vida útil: 25 años</w:t>
            </w:r>
          </w:p>
        </w:tc>
      </w:tr>
    </w:tbl>
    <w:p>
      <w:pPr>
        <w:pStyle w:val="BodyText"/>
        <w:spacing w:line="360" w:lineRule="auto" w:before="0" w:after="0"/>
        <w:ind w:firstLine="720"/>
        <w:jc w:val="both"/>
      </w:pPr>
      <w:r>
        <w:rPr>
          <w:rFonts w:ascii="Times New Roman" w:hAnsi="Times New Roman"/>
          <w:i/>
          <w:iCs/>
          <w:color w:val="000000"/>
          <w:sz w:val="24"/>
        </w:rPr>
        <w:t xml:space="preserve">Nota.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Datos consolidados a partir del Censo de Población y Vivienda (INEC, 2022) y cartografía base del GAD Municipal de Loja.</w:t>
      </w:r>
    </w:p>
    <w:bookmarkEnd w:id="11"/>
    <w:bookmarkStart w:id="13" w:name="X26ceafa3f77028a6468afe0ec3644e211ffd69f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Cadena de Trazabilidad Causal del Proyecto</w:t>
      </w:r>
    </w:p>
    <w:p>
      <w:pPr>
        <w:pStyle w:val="FirstParagraph"/>
        <w:spacing w:line="360" w:lineRule="auto" w:before="0" w:after="0"/>
        <w:ind w:firstLine="720"/>
        <w:jc w:val="both"/>
      </w:pPr>
      <w:r>
        <w:rPr>
          <w:rFonts w:ascii="Times New Roman" w:hAnsi="Times New Roman"/>
          <w:color w:val="000000"/>
          <w:sz w:val="24"/>
        </w:rPr>
        <w:t xml:space="preserve">Conforme a la metodología GIZ/MIT, la justificación del proyecto debe establecer una conexión causal continua que enlace el déficit estructural con indicadores verificables de calidad de vida.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Tabla 2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Cadena de trazabilidad causal: brecha, objetivo, estrategia, meta e indicador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Eslabón de la Cadena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Definición Operativa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Registro Específico del Proyecto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1. Brecha Principal Identificada: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Problema estructural territorial y de derechos a resolver.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ej. Aislamiento físico, déficit &gt;80% de aceras accesibles y riesgo hídrico]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2. Objetivo de Calidad de Vida: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Propósito de bienestar y cambio conductual en la población.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ej. Garantizar accesibilidad universal y seguridad ante escorrentías]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3. Estrategia Territorial: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Intervención en red orientada al cambio de paradigma.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ej. Red de Calle Completa 8-80 articulada con SUDS y Parque Fluvial]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4. Meta Verificable del Proyecto: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Producto físico o estándar de servicio cuantificable.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ej. 2.5 km de veredas continuas y 100% de escorrentía amortiguada]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5. Indicador de Impacto: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Métrica de resultado vinculada a la vida cotidiana.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ej. Reducción de tiempo a pie de 25 a 10 min hacia el campus UNL]</w:t>
            </w:r>
          </w:p>
        </w:tc>
      </w:tr>
    </w:tbl>
    <w:p>
      <w:pPr>
        <w:pStyle w:val="BodyText"/>
        <w:spacing w:line="360" w:lineRule="auto" w:before="0" w:after="0"/>
        <w:ind w:firstLine="720"/>
        <w:jc w:val="both"/>
      </w:pPr>
      <w:r>
        <w:rPr>
          <w:rFonts w:ascii="Times New Roman" w:hAnsi="Times New Roman"/>
          <w:i/>
          <w:iCs/>
          <w:color w:val="000000"/>
          <w:sz w:val="24"/>
        </w:rPr>
        <w:t xml:space="preserve">Nota.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Elaboración con base en los lineamientos de la Fase 2 (Diseño) de la Guía Estratégica (MIT &amp; GIZ, 2025).</w:t>
      </w:r>
    </w:p>
    <w:bookmarkEnd w:id="13"/>
    <w:bookmarkStart w:id="14" w:name="Xe314283f75f2ff5ef0f7782ceea6ab7e5bd4c96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Inserción y Rol Estructural en la Red de Espacio Público</w:t>
      </w:r>
    </w:p>
    <w:p>
      <w:pPr>
        <w:pStyle w:val="FirstParagraph"/>
        <w:spacing w:line="360" w:lineRule="auto" w:before="0" w:after="0"/>
        <w:ind w:firstLine="720"/>
        <w:jc w:val="both"/>
      </w:pPr>
      <w:r>
        <w:rPr>
          <w:rFonts w:ascii="Times New Roman" w:hAnsi="Times New Roman"/>
          <w:color w:val="000000"/>
          <w:sz w:val="24"/>
        </w:rPr>
        <w:t xml:space="preserve">El espacio público se formula como un sistema continuo (vial + verde-azul + estancial) que supera la fragmentación urbana: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 Estructural en la Red Cantonal:</w:t>
      </w:r>
      <w:r>
        <w:t xml:space="preserve"> </w:t>
      </w:r>
      <w:r>
        <w:t xml:space="preserve">Conector de proximidad y amortiguamiento ambiental que articula el tejido barrial con la red estructurante sur del cantón Loja.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Continuidad de Red Garantizada:</w:t>
      </w:r>
      <w:r>
        <w:t xml:space="preserve"> </w:t>
      </w:r>
      <w:r>
        <w:rPr>
          <w:rStyle w:val="VerbatimChar"/>
        </w:rPr>
        <w:t xml:space="preserve">[Completar: Describir la conexión fluida entre la vía arterial Av. Reinaldo Espinosa, el transporte colectivo urbano, los senderos peatonales hacia el Campus La Argelia y la microcuenca ribereña del río Capulí.]</w:t>
      </w:r>
    </w:p>
    <w:bookmarkEnd w:id="14"/>
    <w:bookmarkStart w:id="16" w:name="X79b3cce14ecf864572d579db8da0d9c9a44d81b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Matriz de Correspondencia de Tipologías en Tres Capas</w:t>
      </w:r>
    </w:p>
    <w:p>
      <w:pPr>
        <w:pStyle w:val="FirstParagraph"/>
        <w:spacing w:line="360" w:lineRule="auto" w:before="0" w:after="0"/>
        <w:ind w:firstLine="720"/>
        <w:jc w:val="both"/>
      </w:pPr>
      <w:r>
        <w:rPr>
          <w:rFonts w:ascii="Times New Roman" w:hAnsi="Times New Roman"/>
          <w:color w:val="000000"/>
          <w:sz w:val="24"/>
        </w:rPr>
        <w:t xml:space="preserve">La Guía GIZ/MIT exige que todo espacio público cuente con una clasificación simultánea bajo tres dimensiones analíticas complementarias.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Tabla 3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Matriz de correspondencia de tipologías en tres dimensiones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Dimensión de Análisis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Pregunta Orientadora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Categorización Técnica y Normativa del Proyecto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1. Dimensión Normativa (PUGS / LOOTUS)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</w:rPr>
              <w:t xml:space="preserve">¿Qué es legalmente este espacio y quién lo gestiona?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Sistemas Públicos de Soporte: Vía pública municipal terciaria, margen de protección hídrica y área de cesión.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2. Dimensión Estratégica (PEEP)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</w:rPr>
              <w:t xml:space="preserve">¿Para qué propósito prioritario se interviene y qué brecha resuelve?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Conector de Proximidad y Amortiguamiento Ambiental: Movilidad activa, equidad periférica y resiliencia climática.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3. Dimensión Morfológica - Funcional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</w:rPr>
              <w:t xml:space="preserve">¿Cómo se configura físicamente y qué estándar garantiza?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Calle Completa 8-80 y Corredor Verde-Azul: Aceras accesibles continuas, cunetas verdes SUDS y pavimento permeable.</w:t>
            </w:r>
          </w:p>
        </w:tc>
      </w:tr>
    </w:tbl>
    <w:p>
      <w:pPr>
        <w:pStyle w:val="BodyText"/>
        <w:spacing w:line="360" w:lineRule="auto" w:before="0" w:after="0"/>
        <w:ind w:firstLine="720"/>
        <w:jc w:val="both"/>
      </w:pPr>
      <w:r>
        <w:rPr>
          <w:rFonts w:ascii="Times New Roman" w:hAnsi="Times New Roman"/>
          <w:i/>
          <w:iCs/>
          <w:color w:val="000000"/>
          <w:sz w:val="24"/>
        </w:rPr>
        <w:t xml:space="preserve">Nota.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Clasificación reglamentaria del marco habilitante nacional de espacio público (Sección 5.3, MIT &amp; GIZ, 2025).</w:t>
      </w:r>
    </w:p>
    <w:bookmarkEnd w:id="16"/>
    <w:bookmarkEnd w:id="17"/>
    <w:bookmarkStart w:id="26" w:name="X5813c8d95a66d6e305ae1ead87ab0789bd34607"/>
    <w:p>
      <w:pPr>
        <w:pStyle w:val="Heading1"/>
        <w:ind w:firstLine="0"/>
      </w:pPr>
      <w:r>
        <w:rPr>
          <w:rFonts w:ascii="Times New Roman" w:hAnsi="Times New Roman"/>
          <w:color w:val="000000"/>
        </w:rPr>
        <w:t xml:space="preserve">Alineación con el Marco Habilitante y los Seis Enfoques del Paradigma</w:t>
      </w:r>
    </w:p>
    <w:bookmarkStart w:id="18" w:name="X1e88dc97e424cdbcb8d7917888980d7a82f667a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Enfoque Articulador: Gobernanza Democrática y Financiamiento por Ciclo de Vida</w:t>
      </w:r>
    </w:p>
    <w:p>
      <w:pPr>
        <w:pStyle w:val="FirstParagraph"/>
        <w:spacing w:line="360" w:lineRule="auto" w:before="0" w:after="0"/>
        <w:ind w:firstLine="720"/>
        <w:jc w:val="both"/>
      </w:pPr>
      <w:r>
        <w:rPr>
          <w:rFonts w:ascii="Times New Roman" w:hAnsi="Times New Roman"/>
          <w:color w:val="000000"/>
          <w:sz w:val="24"/>
        </w:rPr>
        <w:t xml:space="preserve">El espacio público se concibe como un proceso dinámico de gestión social y corresponsabilidad comunitaria: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Democrática del Conflicto:</w:t>
      </w:r>
      <w:r>
        <w:t xml:space="preserve"> </w:t>
      </w:r>
      <w:r>
        <w:rPr>
          <w:rStyle w:val="VerbatimChar"/>
        </w:rPr>
        <w:t xml:space="preserve">[Completar: Protocolo de mediación y acuerdos de uso para regular ventas locales, accesos vehiculares de residentes y prioridad peatonal.]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Arquitectura de Gobernanza Institucional:</w:t>
      </w:r>
      <w:r>
        <w:t xml:space="preserve"> </w:t>
      </w:r>
      <w:r>
        <w:rPr>
          <w:rStyle w:val="VerbatimChar"/>
        </w:rPr>
        <w:t xml:space="preserve">[Completar: Coordinación formal entre el GAD Municipal de Loja, la asistencia técnica de la Universidad Nacional de Loja y la Directiva Barrial.]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Sostenibilidad Financiera por Ciclo de Vida (CAPEX + OPEX):</w:t>
      </w:r>
      <w:r>
        <w:t xml:space="preserve"> </w:t>
      </w:r>
      <w:r>
        <w:rPr>
          <w:rStyle w:val="VerbatimChar"/>
        </w:rPr>
        <w:t xml:space="preserve">[Completar: Declaración de viabilidad donde la ejecución de la obra civil queda supeditada a la reserva presupuestaria anual de operación y mantenimiento preventivo.]</w:t>
      </w:r>
    </w:p>
    <w:bookmarkEnd w:id="18"/>
    <w:bookmarkStart w:id="22" w:name="enfoques-transversales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Enfoques Transversales</w:t>
      </w:r>
    </w:p>
    <w:bookmarkStart w:id="19" w:name="X3bb0b391c1c631db8cd0c03c11d88bd4b95d93d"/>
    <w:p>
      <w:pPr>
        <w:pStyle w:val="Heading3"/>
        <w:ind w:firstLine="0"/>
      </w:pPr>
      <w:r>
        <w:rPr>
          <w:rFonts w:ascii="Times New Roman" w:hAnsi="Times New Roman"/>
          <w:color w:val="000000"/>
        </w:rPr>
        <w:t xml:space="preserve">Equidad, Inclusión y Enfoque de Cuidados (Criterio 8-80)</w:t>
      </w:r>
    </w:p>
    <w:p>
      <w:pPr>
        <w:pStyle w:val="FirstParagraph"/>
        <w:spacing w:line="360" w:lineRule="auto" w:before="0" w:after="0"/>
        <w:ind w:firstLine="720"/>
        <w:jc w:val="both"/>
      </w:pPr>
      <w:r>
        <w:rPr>
          <w:rFonts w:ascii="Times New Roman" w:hAnsi="Times New Roman"/>
          <w:color w:val="000000"/>
          <w:sz w:val="24"/>
        </w:rPr>
        <w:t xml:space="preserve">El diseño garantiza la autonomía de los grupos prioritarios: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 8-80 y Accesibilidad Universal:</w:t>
      </w:r>
      <w:r>
        <w:t xml:space="preserve"> </w:t>
      </w:r>
      <w:r>
        <w:rPr>
          <w:rStyle w:val="VerbatimChar"/>
        </w:rPr>
        <w:t xml:space="preserve">[Completar: Aceras con ancho libre efectivo superior a 1.80 m, pendientes controladas (&lt;8%), vados peatonales a nivel y guías podotáctiles.]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 de Cuidados Cotidianos:</w:t>
      </w:r>
      <w:r>
        <w:t xml:space="preserve"> </w:t>
      </w:r>
      <w:r>
        <w:rPr>
          <w:rStyle w:val="VerbatimChar"/>
        </w:rPr>
        <w:t xml:space="preserve">[Completar: Recorridos seguros y continuos que conectan con escuelas, guarderías, áreas lúdicas y paradas de bus.]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Seguridad Ciudadana Integral:</w:t>
      </w:r>
      <w:r>
        <w:t xml:space="preserve"> </w:t>
      </w:r>
      <w:r>
        <w:rPr>
          <w:rStyle w:val="VerbatimChar"/>
        </w:rPr>
        <w:t xml:space="preserve">[Completar: Alumbrado peatonal uniforme, frentes activos, visibilidad visual directa y erradicación de puntos ciegos.]</w:t>
      </w:r>
    </w:p>
    <w:bookmarkEnd w:id="19"/>
    <w:bookmarkStart w:id="20" w:name="X273bf725da5ee796909dfff830891e2d3a79ddf"/>
    <w:p>
      <w:pPr>
        <w:pStyle w:val="Heading3"/>
        <w:ind w:firstLine="0"/>
      </w:pPr>
      <w:r>
        <w:rPr>
          <w:rFonts w:ascii="Times New Roman" w:hAnsi="Times New Roman"/>
          <w:color w:val="000000"/>
        </w:rPr>
        <w:t xml:space="preserve">Economía Urbana y Vitalidad Económica Cotidiana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Espacio para el Trabajo Digno:</w:t>
      </w:r>
      <w:r>
        <w:t xml:space="preserve"> </w:t>
      </w:r>
      <w:r>
        <w:rPr>
          <w:rStyle w:val="VerbatimChar"/>
        </w:rPr>
        <w:t xml:space="preserve">[Completar: Ordenamiento de ferias vecinales y actividades de subsistencia en zonas de ensanche peatonal sin obstaculizar la circulación.]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Protección contra la Expulsión:</w:t>
      </w:r>
      <w:r>
        <w:t xml:space="preserve"> </w:t>
      </w:r>
      <w:r>
        <w:rPr>
          <w:rStyle w:val="VerbatimChar"/>
        </w:rPr>
        <w:t xml:space="preserve">[Completar: Medidas para resguardar la permanencia de los habitantes tradicionales ante dinámicas de valorización del suelo.]</w:t>
      </w:r>
    </w:p>
    <w:bookmarkEnd w:id="20"/>
    <w:bookmarkStart w:id="21" w:name="salud-bienestar-y-confort-ambiental"/>
    <w:p>
      <w:pPr>
        <w:pStyle w:val="Heading3"/>
        <w:ind w:firstLine="0"/>
      </w:pPr>
      <w:r>
        <w:rPr>
          <w:rFonts w:ascii="Times New Roman" w:hAnsi="Times New Roman"/>
          <w:color w:val="000000"/>
        </w:rPr>
        <w:t xml:space="preserve">Salud, Bienestar y Confort Ambiental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Promoción de la Actividad Física:</w:t>
      </w:r>
      <w:r>
        <w:t xml:space="preserve"> </w:t>
      </w:r>
      <w:r>
        <w:rPr>
          <w:rStyle w:val="VerbatimChar"/>
        </w:rPr>
        <w:t xml:space="preserve">[Completar: Trazados amigables para caminata y bicicleta con pacificación vehicular de calzada (máximo 30 km/h).]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Confort Térmico y Sombreamiento:</w:t>
      </w:r>
      <w:r>
        <w:t xml:space="preserve"> </w:t>
      </w:r>
      <w:r>
        <w:rPr>
          <w:rStyle w:val="VerbatimChar"/>
        </w:rPr>
        <w:t xml:space="preserve">[Completar: Arbolado nativo de copa densa y microclimas agradables en áreas de descanso y paradas de transporte.]</w:t>
      </w:r>
    </w:p>
    <w:bookmarkEnd w:id="21"/>
    <w:bookmarkEnd w:id="22"/>
    <w:bookmarkStart w:id="25" w:name="enfoques-integradores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Enfoques Integradores</w:t>
      </w:r>
    </w:p>
    <w:bookmarkStart w:id="23" w:name="Xa7bec0a4dc2c63291836bfdbb1ae0a65deb1d39"/>
    <w:p>
      <w:pPr>
        <w:pStyle w:val="Heading3"/>
        <w:ind w:firstLine="0"/>
      </w:pPr>
      <w:r>
        <w:rPr>
          <w:rFonts w:ascii="Times New Roman" w:hAnsi="Times New Roman"/>
          <w:color w:val="000000"/>
        </w:rPr>
        <w:t xml:space="preserve">Urbanismo de Proximidad (Ciudad de 10-15 Minutos)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Caminabilidad Real y Cobertura de Servicios:</w:t>
      </w:r>
      <w:r>
        <w:t xml:space="preserve"> </w:t>
      </w:r>
      <w:r>
        <w:rPr>
          <w:rStyle w:val="VerbatimChar"/>
        </w:rPr>
        <w:t xml:space="preserve">[Completar: Isócronas peatonales reales hacia equipamientos de salud, educación y abastecimiento.]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Intermodalidad:</w:t>
      </w:r>
      <w:r>
        <w:t xml:space="preserve"> </w:t>
      </w:r>
      <w:r>
        <w:rPr>
          <w:rStyle w:val="VerbatimChar"/>
        </w:rPr>
        <w:t xml:space="preserve">[Completar: Articulación fluida entre modos activos y líneas de transporte público colectivo.]</w:t>
      </w:r>
    </w:p>
    <w:bookmarkEnd w:id="23"/>
    <w:bookmarkStart w:id="24" w:name="X9ec6e4ee27f7af211cce74625cd30f5e6df8c42"/>
    <w:p>
      <w:pPr>
        <w:pStyle w:val="Heading3"/>
        <w:ind w:firstLine="0"/>
      </w:pPr>
      <w:r>
        <w:rPr>
          <w:rFonts w:ascii="Times New Roman" w:hAnsi="Times New Roman"/>
          <w:color w:val="000000"/>
        </w:rPr>
        <w:t xml:space="preserve">Ecología Urbana + Ciudad Esponja y Resiliencia Hídrica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Soluciones basadas en la Naturaleza (SbN / SUDS):</w:t>
      </w:r>
      <w:r>
        <w:t xml:space="preserve"> </w:t>
      </w:r>
      <w:r>
        <w:rPr>
          <w:rStyle w:val="VerbatimChar"/>
        </w:rPr>
        <w:t xml:space="preserve">[Completar: Implementación de jardines de lluvia, alcorques biofiltrantes y zanjas de infiltración en ladera.]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Suelo Permeable y Cobertura Vegetal:</w:t>
      </w:r>
      <w:r>
        <w:t xml:space="preserve"> </w:t>
      </w:r>
      <w:r>
        <w:rPr>
          <w:rStyle w:val="VerbatimChar"/>
        </w:rPr>
        <w:t xml:space="preserve">[Completar: Proporción de superficie permeable recuperada y estabilización de taludes con especies nativas adaptadas.]</w:t>
      </w:r>
    </w:p>
    <w:bookmarkEnd w:id="24"/>
    <w:bookmarkEnd w:id="25"/>
    <w:bookmarkEnd w:id="26"/>
    <w:bookmarkStart w:id="31" w:name="Xe05a51bf5e610193977330c2efa6d9c64be1ca6"/>
    <w:p>
      <w:pPr>
        <w:pStyle w:val="Heading1"/>
        <w:ind w:firstLine="0"/>
      </w:pPr>
      <w:r>
        <w:rPr>
          <w:rFonts w:ascii="Times New Roman" w:hAnsi="Times New Roman"/>
          <w:color w:val="000000"/>
        </w:rPr>
        <w:t xml:space="preserve">Expediente Técnico de Diseño (Fase 2 del Ciclo de Vida)</w:t>
      </w:r>
    </w:p>
    <w:bookmarkStart w:id="28" w:name="X33a09d5a8f0c848db1e3cdf21861ecc3fc3956e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Evaluación Multicriterio de Alternativas de Diseño (Trade-offs)</w:t>
      </w:r>
    </w:p>
    <w:p>
      <w:pPr>
        <w:pStyle w:val="FirstParagraph"/>
        <w:spacing w:line="360" w:lineRule="auto" w:before="0" w:after="0"/>
        <w:ind w:firstLine="720"/>
        <w:jc w:val="both"/>
      </w:pPr>
      <w:r>
        <w:rPr>
          <w:rFonts w:ascii="Times New Roman" w:hAnsi="Times New Roman"/>
          <w:color w:val="000000"/>
          <w:sz w:val="24"/>
        </w:rPr>
        <w:t xml:space="preserve">La Guía GIZ/MIT exige documentar la comparación técnica, social y económica de alternativas de intervención para justificar la solución seleccionada.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Tabla 4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Evaluación multicriterio y trade-offs entre alternativas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Criterio Metodológico / Trade-Off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Alternativa 1: Intervención Tradicional (Gris)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Alternativa 2: Cambio de Paradigma (SbN + 8-80)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Justificación de la Alternativa Seleccionada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Distribución de Sección Vial: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75% calzada vehicular; aceras residuales estrechas.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Calzada pacificada (40%), veredas amplias (35%), verde (25%).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Prioriza movilidad activa y derechos peatonales.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Manejo Pluvial: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Sumideros y tuberías de hormigón (rápida saturación).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SUDS, cunetas verdes y biofiltración in situ.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Amortigua escorrentías y previene deslaves en ladera.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Accesibilidad Universal: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Rampas aisladas sin continuidad; bordillos altos.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Diseño 8-80 integral y plataforma compartida en cruces.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Garantiza autonomía para niñez y adultos mayores.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Inversión Inicial (CAPEX):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 USD]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 USD]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Sostenible técnica y financieramente.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Costo Operativo a 20 Años (OPEX):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Alto por bacheo constante y desazolve de ductos.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Moderado; mantenimiento de jardines y biofiltros.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Menor costo del ciclo de vida total.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Dictamen de Selección: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Descartada por perpetuar dependencia automotriz.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Seleccionada como Alternativa Oficial del Expediente.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Cumple estándares PEEP y GIZ CIS II.</w:t>
            </w:r>
          </w:p>
        </w:tc>
      </w:tr>
    </w:tbl>
    <w:p>
      <w:pPr>
        <w:pStyle w:val="BodyText"/>
        <w:spacing w:line="360" w:lineRule="auto" w:before="0" w:after="0"/>
        <w:ind w:firstLine="720"/>
        <w:jc w:val="both"/>
      </w:pPr>
      <w:r>
        <w:rPr>
          <w:rFonts w:ascii="Times New Roman" w:hAnsi="Times New Roman"/>
          <w:i/>
          <w:iCs/>
          <w:color w:val="000000"/>
          <w:sz w:val="24"/>
        </w:rPr>
        <w:t xml:space="preserve">Nota.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La comparación de alternativas es un producto obligatorio para el cierre de la Fase 2 (Diseño) según el estándar MIT &amp; GIZ (2025).</w:t>
      </w:r>
    </w:p>
    <w:bookmarkEnd w:id="28"/>
    <w:bookmarkStart w:id="29" w:name="Xb574bcc1f3fe8382baf7c0c7d9749508d5035ea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Planimetría, Dimensionamiento Espacial y Secciones Tipo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Perfil Transversal Tipo (Calle Completa 8-80):</w:t>
      </w:r>
      <w:r>
        <w:t xml:space="preserve"> </w:t>
      </w:r>
      <w:r>
        <w:rPr>
          <w:rStyle w:val="VerbatimChar"/>
        </w:rPr>
        <w:t xml:space="preserve">[Completar: Ancho total de derecho de vía (m), ancho de calzada vehicular (m), ancho de aceras peatonales libres (m) y franjas verdes SUDS.]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Zonificación del Parque Fluvial de río Capulí:</w:t>
      </w:r>
      <w:r>
        <w:t xml:space="preserve"> </w:t>
      </w:r>
      <w:r>
        <w:rPr>
          <w:rStyle w:val="VerbatimChar"/>
        </w:rPr>
        <w:t xml:space="preserve">[Completar: Superficie de protección hídrica ribereña (m²), áreas lúdicas y deportivas (m²), y senderos permeables (m²).]</w:t>
      </w:r>
    </w:p>
    <w:bookmarkEnd w:id="29"/>
    <w:bookmarkStart w:id="30" w:name="Xa0fc9d5e92bb522d4df5940483baf7b5e429132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Reglas Espaciales de Convivencia y Gestión de Conflictos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Criterios Espaciales de No Exclusión:</w:t>
      </w:r>
      <w:r>
        <w:t xml:space="preserve"> </w:t>
      </w:r>
      <w:r>
        <w:rPr>
          <w:rStyle w:val="VerbatimChar"/>
        </w:rPr>
        <w:t xml:space="preserve">[Completar: Espacios públicos abiertos sin barreras físicas privatizadoras, accesibles las 24 horas.]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 de Convivencia y Compatibilidad de Usos:</w:t>
      </w:r>
      <w:r>
        <w:t xml:space="preserve"> </w:t>
      </w:r>
      <w:r>
        <w:rPr>
          <w:rStyle w:val="VerbatimChar"/>
        </w:rPr>
        <w:t xml:space="preserve">[Completar: Horarios de abastecimiento comercial, zonas para recreación canina y protocolos de coexistencia peatón-bicicleta.]</w:t>
      </w:r>
    </w:p>
    <w:bookmarkEnd w:id="30"/>
    <w:bookmarkEnd w:id="31"/>
    <w:bookmarkStart w:id="39" w:name="X13d581255bd0155708afee24819003bc616d8f4"/>
    <w:p>
      <w:pPr>
        <w:pStyle w:val="Heading1"/>
        <w:ind w:firstLine="0"/>
      </w:pPr>
      <w:r>
        <w:rPr>
          <w:rFonts w:ascii="Times New Roman" w:hAnsi="Times New Roman"/>
          <w:color w:val="000000"/>
        </w:rPr>
        <w:t xml:space="preserve">Modelo de Implementación, Puesta en Servicio y Gestión (Fases 3, 4 y 5)</w:t>
      </w:r>
    </w:p>
    <w:bookmarkStart w:id="32" w:name="Xc8df9025091b5b59f63f90abf1a8c41b0b50bcf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Fase 3 (Implementación): Plan de Manejo de Obra y Mitigación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Itinerarios Peatonales Provisionales:</w:t>
      </w:r>
      <w:r>
        <w:t xml:space="preserve"> </w:t>
      </w:r>
      <w:r>
        <w:rPr>
          <w:rStyle w:val="VerbatimChar"/>
        </w:rPr>
        <w:t xml:space="preserve">[Completar: Dispositivos de seguridad física, pasarelas accesibles y señalización informativa temporal durante la construcción.]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Veeduría Ciudadana:</w:t>
      </w:r>
      <w:r>
        <w:t xml:space="preserve"> </w:t>
      </w:r>
      <w:r>
        <w:rPr>
          <w:rStyle w:val="VerbatimChar"/>
        </w:rPr>
        <w:t xml:space="preserve">[Completar: Comisión barrial de fiscalización social y reuniones mensuales de seguimiento de avance de obra.]</w:t>
      </w:r>
    </w:p>
    <w:bookmarkEnd w:id="32"/>
    <w:bookmarkStart w:id="33" w:name="Xba324750936a2d7e9dc1a99309c21d1a5ea1030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Fase 4 (Puesta en Servicio): Activación Inicial y Cierre Técnico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Verificación Previa a la Apertura:</w:t>
      </w:r>
      <w:r>
        <w:t xml:space="preserve"> </w:t>
      </w:r>
      <w:r>
        <w:rPr>
          <w:rStyle w:val="VerbatimChar"/>
        </w:rPr>
        <w:t xml:space="preserve">[Completar: Lista de chequeo: alumbrado operativo, señalética colocada, pruebas de absorción en SUDS y recepción municipal.]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Programa de Activación Temprana (Primeros 3 a 6 Meses):</w:t>
      </w:r>
      <w:r>
        <w:t xml:space="preserve"> </w:t>
      </w:r>
      <w:r>
        <w:rPr>
          <w:rStyle w:val="VerbatimChar"/>
        </w:rPr>
        <w:t xml:space="preserve">[Completar: Agenda de ferias comunitarias, talleres de siembra de especies nativas y campañas barriales de cuidado del espacio.]</w:t>
      </w:r>
    </w:p>
    <w:bookmarkEnd w:id="33"/>
    <w:bookmarkStart w:id="38" w:name="X4dbdcbb69f7c649c35e15e74bf020b15f9453b4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Fase 5 (Gestión): Costos del Ciclo de Vida (CAPEX + OPEX)</w:t>
      </w:r>
    </w:p>
    <w:bookmarkStart w:id="35" w:name="presupuesto-de-inversión-inicial-capex"/>
    <w:p>
      <w:pPr>
        <w:pStyle w:val="Heading3"/>
        <w:ind w:firstLine="0"/>
      </w:pPr>
      <w:r>
        <w:rPr>
          <w:rFonts w:ascii="Times New Roman" w:hAnsi="Times New Roman"/>
          <w:color w:val="000000"/>
        </w:rPr>
        <w:t xml:space="preserve">Presupuesto de Inversión Inicial (CAPEX)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Tabla 5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Estructura del presupuesto de inversión inicial (CAPEX)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200"/>
        <w:gridCol w:w="960"/>
        <w:gridCol w:w="1200"/>
        <w:gridCol w:w="1200"/>
        <w:gridCol w:w="1200"/>
        <w:gridCol w:w="1200"/>
        <w:gridCol w:w="96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Código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Rubro General de Intervención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Unidad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Cantidad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Costo Unitario (USD)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Costo Total (USD)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Fuente de Financiamiento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C1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Estudios definitivos, geotecnia y diseño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Glb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GAD Loja / UNL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C2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Movilidad activa y aceras accesibles 8-80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m² / km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Presupuesto GAD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C3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Soluciones basadas en la Naturaleza (SUDS)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m²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Fondos Climáticos / BDE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C4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Infraestructura verde y Parque Fluvial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ha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Cooperación Técnica GIZ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Mobiliario urbano accesible e iluminación LED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Glb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Presupuesto Municipal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C6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Fiscalización técnica y control ambiental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Glb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GAD Loja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–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Costo Total Estimado de Inversión (CAPEX):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–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–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–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color w:val="000000"/>
                <w:sz w:val="20"/>
              </w:rPr>
              <w:t xml:space="preserve">[Completar USD]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–</w:t>
            </w:r>
          </w:p>
        </w:tc>
      </w:tr>
    </w:tbl>
    <w:p>
      <w:pPr>
        <w:pStyle w:val="BodyText"/>
        <w:spacing w:line="360" w:lineRule="auto" w:before="0" w:after="0"/>
        <w:ind w:firstLine="720"/>
        <w:jc w:val="both"/>
      </w:pPr>
      <w:r>
        <w:rPr>
          <w:rFonts w:ascii="Times New Roman" w:hAnsi="Times New Roman"/>
          <w:i/>
          <w:iCs/>
          <w:color w:val="000000"/>
          <w:sz w:val="24"/>
        </w:rPr>
        <w:t xml:space="preserve">Nota.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Valores calculados a precios de mercado vigentes de la construcción pública en el cantón Loja.</w:t>
      </w:r>
    </w:p>
    <w:bookmarkEnd w:id="35"/>
    <w:bookmarkStart w:id="37" w:name="X02a07e14316e00bb8bf944f9c5c51579c78cc04"/>
    <w:p>
      <w:pPr>
        <w:pStyle w:val="Heading3"/>
        <w:ind w:firstLine="0"/>
      </w:pPr>
      <w:r>
        <w:rPr>
          <w:rFonts w:ascii="Times New Roman" w:hAnsi="Times New Roman"/>
          <w:color w:val="000000"/>
        </w:rPr>
        <w:t xml:space="preserve">Presupuesto Operativo y de Mantenimiento Preventivo (OPEX)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Tabla 6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Plan de operación y mantenimiento preventivo por horizonte temporal (OPEX)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Horizonte Temporal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Actividades Principales de Mantenimiento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Frecuencia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Costo Anual Est. (USD)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Entidad Responsable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Corto Plazo (Años 1-5):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Limpieza de sedimentos en SUDS, podas y jardinería.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Mensual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 USD]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UMAT / Comité Barrial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Mediano Plazo (Años 6-10):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Reemplazo de áridos en zanjas, pintura y luminarias.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Semestral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 USD]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Dirección de Obras Públicas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Largo Plazo (Años 11-25):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Rehabilitación de pavimentos y estructuras mayores.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Quinquenal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center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 USD]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Presupuesto Participativo GAD</w:t>
            </w:r>
          </w:p>
        </w:tc>
      </w:tr>
    </w:tbl>
    <w:p>
      <w:pPr>
        <w:pStyle w:val="BodyText"/>
        <w:spacing w:line="360" w:lineRule="auto" w:before="0" w:after="0"/>
        <w:ind w:firstLine="720"/>
        <w:jc w:val="both"/>
      </w:pPr>
      <w:r>
        <w:rPr>
          <w:rFonts w:ascii="Times New Roman" w:hAnsi="Times New Roman"/>
          <w:i/>
          <w:iCs/>
          <w:color w:val="000000"/>
          <w:sz w:val="24"/>
        </w:rPr>
        <w:t xml:space="preserve">Nota.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La disponibilidad garantizada de recursos OPEX constituye un requisito de elegibilidad del financiamiento GIZ.</w:t>
      </w:r>
    </w:p>
    <w:bookmarkEnd w:id="37"/>
    <w:bookmarkEnd w:id="38"/>
    <w:bookmarkEnd w:id="39"/>
    <w:bookmarkStart w:id="44" w:name="X433f0677d6b5904b441724833b95e76e27cce9e"/>
    <w:p>
      <w:pPr>
        <w:pStyle w:val="Heading1"/>
        <w:ind w:firstLine="0"/>
      </w:pPr>
      <w:r>
        <w:rPr>
          <w:rFonts w:ascii="Times New Roman" w:hAnsi="Times New Roman"/>
          <w:color w:val="000000"/>
        </w:rPr>
        <w:t xml:space="preserve">Sistema de Monitoreo, Evaluación y Retroalimentación (SMER / MNI)</w:t>
      </w:r>
    </w:p>
    <w:bookmarkStart w:id="41" w:name="X05304a25430e6de02c3962516f365cafdae8437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Batería de Indicadores de Impacto en Calidad de Vida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Tabla 7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Batería de indicadores de impacto alineada al Marco Nacional de Indicadores (MNI)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Dimensión del Paradigma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Indicador de Desempeño / Impacto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Línea Base (2026)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Meta del Proyecto (2028)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Método y Fuente de Verificación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1. Proximidad y Accesibilidad: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% de población con acceso continuo a pie 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15 min al sistema.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[Completar: ej. 20%]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95% de la población del polígono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Isócronas QGIS y encuestas KoBo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2. Seguridad y Autonomía: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Tasa de incidentes viales / percepción de seguridad nocturna.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Reducción del 80% en incidentes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Registros de tránsito y sondeos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3. Inclusión y Cuidados: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Frecuencia de uso del espacio por infancia, mujeres y mayores.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Incremento del 50% en permanencia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Aforos peatonales clasificados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4. Salud y Bienestar: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Actividad física cotidiana y cobertura de sombra arbórea.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100% de tramos con sombra continua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Mediciones ambientales y aforos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5. Resiliencia Ambiental: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Porcentaje de escorrentía pluvial amortiguada in situ por SUDS.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0% retención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m:oMath>
              <m:r>
                <m:rPr>
                  <m:sty m:val="p"/>
                </m:rPr>
                <m:t>≥</m:t>
              </m:r>
            </m:oMath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35% del volumen de escorrentía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Monitoreo hidrológico de campo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6. Vitalidad Económica: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Permanencia de microactividades comerciales locales de proximidad.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Cero desplazamientos forzados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Censo de actividades barriales</w:t>
            </w:r>
          </w:p>
        </w:tc>
      </w:tr>
    </w:tbl>
    <w:p>
      <w:pPr>
        <w:pStyle w:val="BodyText"/>
        <w:spacing w:line="360" w:lineRule="auto" w:before="0" w:after="0"/>
        <w:ind w:firstLine="720"/>
        <w:jc w:val="both"/>
      </w:pPr>
      <w:r>
        <w:rPr>
          <w:rFonts w:ascii="Times New Roman" w:hAnsi="Times New Roman"/>
          <w:i/>
          <w:iCs/>
          <w:color w:val="000000"/>
          <w:sz w:val="24"/>
        </w:rPr>
        <w:t xml:space="preserve">Nota.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Indicadores estructurados a partir de las orientaciones del Capítulo VII de la Guía Estratégica (MIT &amp; GIZ, 2025).</w:t>
      </w:r>
    </w:p>
    <w:bookmarkEnd w:id="41"/>
    <w:bookmarkStart w:id="43" w:name="X785ff24a65888c2d1d284086b853797b9f4c6bf"/>
    <w:p>
      <w:pPr>
        <w:pStyle w:val="Heading2"/>
        <w:ind w:firstLine="0"/>
      </w:pPr>
      <w:r>
        <w:rPr>
          <w:rFonts w:ascii="Times New Roman" w:hAnsi="Times New Roman"/>
          <w:color w:val="000000"/>
        </w:rPr>
        <w:t xml:space="preserve">Trazabilidad de Participación Ciudadana Incidente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Tabla 8</w:t>
      </w:r>
    </w:p>
    <w:p>
      <w:pPr>
        <w:jc w:val="both"/>
        <w:spacing w:before="0" w:after="0" w:line="360" w:lineRule="auto"/>
        <w:ind w:left="0" w:firstLine="720"/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Registro de trazabilidad de acuerdos y aportes de la participación ciudadana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Hito del Proceso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Fecha / Momento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Actores Convocados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Aportes Principales de la Comunidad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Estado de Incorporación</w:t>
            </w:r>
          </w:p>
        </w:tc>
        <w:tc>
          <w:tcPr>
            <w:tcBorders>
              <w:bottom w:val="single" w:sz="6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Justificación Técnica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Hito 1: Diagnóstico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Vecinos, mujeres, adultos mayores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Reporte de zonas oscuras y lodo en lluvias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Incorporado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 incluyeron cunetas biofiltrantes y LED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Hito 2: Alternativas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Frentistas y usuarios de transporte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Demanda de aceras amplias vs. autopista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Incorporado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Elección de la Alternativa 2 (Calle Completa)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Hito 3: Devolución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Style w:val="VerbatimChar"/>
                <w:rFonts w:ascii="Times New Roman" w:hAnsi="Times New Roman"/>
                <w:color w:val="000000"/>
                <w:sz w:val="20"/>
              </w:rPr>
              <w:t xml:space="preserve">[Completar]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Asamblea barrial general y UNL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Ajuste en localización de juegos infantiles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Incorporado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pStyle w:val="Compact"/>
              <w:spacing w:line="276" w:lineRule="auto" w:before="20" w:after="20"/>
              <w:ind w:firstLine="0" w:left="0"/>
              <w:jc w:val="left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Reubicación a zona protegida de ladera</w:t>
            </w:r>
          </w:p>
        </w:tc>
      </w:tr>
    </w:tbl>
    <w:p>
      <w:pPr>
        <w:pStyle w:val="BodyText"/>
        <w:spacing w:line="360" w:lineRule="auto" w:before="0" w:after="0"/>
        <w:ind w:firstLine="720"/>
        <w:jc w:val="both"/>
      </w:pPr>
      <w:r>
        <w:rPr>
          <w:rFonts w:ascii="Times New Roman" w:hAnsi="Times New Roman"/>
          <w:i/>
          <w:iCs/>
          <w:color w:val="000000"/>
          <w:sz w:val="24"/>
        </w:rPr>
        <w:t xml:space="preserve">Nota.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Cumplimiento del estándar nacional de participación incidente con trazabilidad verificable (Sección 5.1, MIT &amp; GIZ, 2025).</w:t>
      </w:r>
    </w:p>
    <w:bookmarkEnd w:id="43"/>
    <w:bookmarkEnd w:id="44"/>
    <w:bookmarkStart w:id="45" w:name="anexos-técnicos-del-expediente"/>
    <w:p>
      <w:pPr>
        <w:pStyle w:val="Heading1"/>
        <w:ind w:firstLine="0"/>
      </w:pPr>
      <w:r>
        <w:rPr>
          <w:rFonts w:ascii="Times New Roman" w:hAnsi="Times New Roman"/>
          <w:color w:val="000000"/>
        </w:rPr>
        <w:t xml:space="preserve">Anexos Técnicos del Expediente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Anexo A:</w:t>
      </w:r>
      <w:r>
        <w:t xml:space="preserve"> </w:t>
      </w:r>
      <w:r>
        <w:t xml:space="preserve">Cartografía y Modelación Espacial SIG (Planos de pendientes, isócronas y zonificación en QGIS).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Anexo B:</w:t>
      </w:r>
      <w:r>
        <w:t xml:space="preserve"> </w:t>
      </w:r>
      <w:r>
        <w:t xml:space="preserve">Base de Datos Tabulada de Diagnóstico Socioeconómico (Microdatos INEC CPV 2022 y encuestas KoBoToolbox).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Anexo C:</w:t>
      </w:r>
      <w:r>
        <w:t xml:space="preserve"> </w:t>
      </w:r>
      <w:r>
        <w:t xml:space="preserve">Memorias de Cálculo Hidrológico y Dimensionamiento de Soluciones basadas en la Naturaleza (SUDS).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Anexo D:</w:t>
      </w:r>
      <w:r>
        <w:t xml:space="preserve"> </w:t>
      </w:r>
      <w:r>
        <w:t xml:space="preserve">Planos Arquitectónicos y Constructivos del Anteproyecto (Secciones de Calle Completa 8-80 y Parque Fluvial).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Anexo E:</w:t>
      </w:r>
      <w:r>
        <w:t xml:space="preserve"> </w:t>
      </w:r>
      <w:r>
        <w:t xml:space="preserve">Expediente Social y Actas Notoriadas de Participación Ciudadana Incidente.</w:t>
      </w:r>
    </w:p>
    <w:bookmarkEnd w:id="45"/>
    <w:bookmarkStart w:id="47" w:name="referencias"/>
    <w:p>
      <w:pPr>
        <w:pStyle w:val="Heading1"/>
      </w:pPr>
      <w:r>
        <w:t xml:space="preserve">Referencias</w:t>
      </w:r>
    </w:p>
    <w:bookmarkStart w:id="46" w:name="refs"/>
    <w:p>
      <w:pPr>
        <w:pStyle w:val="Bibliography"/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Deutsche Gesellschaft für Internationale Zusammenarbeit (GIZ). (2024).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Guía para elaborar perfiles de proyecto de cambio climático en ciudades del Ecuador</w:t>
      </w:r>
      <w:r>
        <w:rPr>
          <w:rFonts w:ascii="Times New Roman" w:hAnsi="Times New Roman"/>
          <w:color w:val="000000"/>
          <w:sz w:val="24"/>
        </w:rPr>
        <w:t xml:space="preserve">. Proyecto Ciudades Intermedias Sostenibles (CIS II). GIZ Ecuador.</w:t>
      </w:r>
    </w:p>
    <w:p>
      <w:pPr>
        <w:pStyle w:val="Bibliography"/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Instituto Nacional de Estadística y Censos (INEC). (2022).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Censo de Población y Vivienda 2022: Base de datos REDATAM</w:t>
      </w:r>
      <w:r>
        <w:rPr>
          <w:rFonts w:ascii="Times New Roman" w:hAnsi="Times New Roman"/>
          <w:color w:val="000000"/>
          <w:sz w:val="24"/>
        </w:rPr>
        <w:t xml:space="preserve">. INEC Ecuador.</w:t>
      </w:r>
    </w:p>
    <w:p>
      <w:pPr>
        <w:pStyle w:val="Bibliography"/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Ministerio de Infraestructura y Transporte (MIT), Viceministerio de Desarrollo Urbano Sostenible y Vivienda, &amp; Deutsche Gesellschaft für Internationale Zusammenarbeit (GIZ). (2025).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Guía estratégica: Cambio de paradigma en la planificación territorial aplicado al espacio público</w:t>
      </w:r>
      <w:r>
        <w:rPr>
          <w:rFonts w:ascii="Times New Roman" w:hAnsi="Times New Roman"/>
          <w:color w:val="000000"/>
          <w:sz w:val="24"/>
        </w:rPr>
        <w:t xml:space="preserve">. Programa Ciudades Intermedias Sostenibles (CIS II). MIT &amp; GIZ.</w:t>
      </w:r>
    </w:p>
    <w:p>
      <w:pPr>
        <w:pStyle w:val="Bibliography"/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Organización Mundial de la Salud (OMS). (2020).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Integrar la salud en la planificación urbana y territorial: Manual de consulta</w:t>
      </w:r>
      <w:r>
        <w:rPr>
          <w:rFonts w:ascii="Times New Roman" w:hAnsi="Times New Roman"/>
          <w:color w:val="000000"/>
          <w:sz w:val="24"/>
        </w:rPr>
        <w:t xml:space="preserve">. OMS &amp; ONU-Hábitat.</w:t>
      </w:r>
    </w:p>
    <w:p>
      <w:pPr>
        <w:pStyle w:val="Bibliography"/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Secretaría Nacional de Planificación (SNP). (2025).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Plan Nacional de Desarrollo 2025–2029: Ecuador no se detiene</w:t>
      </w:r>
      <w:r>
        <w:rPr>
          <w:rFonts w:ascii="Times New Roman" w:hAnsi="Times New Roman"/>
          <w:color w:val="000000"/>
          <w:sz w:val="24"/>
        </w:rPr>
        <w:t xml:space="preserve">. Gobierno de la República del Ecuador.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20"/>
    </w:pPr>
    <w:rPr>
      <w:rFonts w:ascii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20"/>
    </w:pPr>
    <w:rPr>
      <w:rFonts w:ascii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20"/>
    </w:pPr>
    <w:rPr>
      <w:rFonts w:ascii="Times New Roman" w:hAnsi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 w:line="240" w:lineRule="auto"/>
      <w:ind w:firstLine="0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/>
      <w:ind w:firstLine="0"/>
      <w:jc w:val="center"/>
    </w:pPr>
    <w:rPr>
      <w:rFonts w:ascii="Times New Roman" w:cstheme="majorBidi" w:eastAsiaTheme="majorEastAsia" w:hAnsi="Times New Roman"/>
      <w:b w:val="0"/>
      <w:i/>
      <w:color w:val="333333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  <w:ind w:hanging="720" w:left="720"/>
    </w:pPr>
    <w:rPr>
      <w:rFonts w:ascii="Times New Roman" w:hAnsi="Times New Roman"/>
      <w:b w:val="0"/>
      <w:i w:val="0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ind w:firstLine="0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i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ind w:firstLine="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ind w:firstLine="0"/>
      <w:jc w:val="left"/>
      <w:outlineLvl w:val="2"/>
    </w:pPr>
    <w:rPr>
      <w:rFonts w:ascii="Times New Roman" w:cstheme="majorBidi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ind w:firstLine="720"/>
      <w:jc w:val="left"/>
      <w:outlineLvl w:val="3"/>
    </w:pPr>
    <w:rPr>
      <w:rFonts w:ascii="Times New Roman" w:cstheme="majorBidi" w:eastAsiaTheme="majorEastAsia" w:hAnsi="Times New Roman"/>
      <w:b/>
      <w:i w:val="0"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40" w:before="120"/>
      <w:ind w:firstLine="0"/>
    </w:pPr>
    <w:rPr>
      <w:rFonts w:ascii="Times New Roman" w:hAnsi="Times New Roman"/>
      <w:b w:val="0"/>
      <w:i/>
      <w:color w:val="000000"/>
      <w:sz w:val="22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TÉCNICO Y PERFIL DE PROYECTO DE ESPACIO PÚBLICO</dc:title>
  <dc:creator>Equipo Técnico Interdisciplinario (Economía &amp; Arquitectura - UNL)</dc:creator>
  <cp:keywords/>
  <dcterms:created xsi:type="dcterms:W3CDTF">2026-10-26T20:40:48Z</dcterms:created>
  <dcterms:modified xsi:type="dcterms:W3CDTF">2026-10-26T20:40:48Z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Estructura Operativa y Guía de Formulación conforme a la Guía Estratégica: Cambio de Paradigma en la Planificación Territorial aplicado al Espacio Público (MIT - Viceministerio de Desarrollo Urbano Sostenible y Vivienda / GIZ Ecuador - CIS II)</vt:lpwstr>
  </property>
  <property fmtid="{D5CDD505-2E9C-101B-9397-08002B2CF9AE}" pid="11" name="toc-title">
    <vt:lpwstr>Índice de Contenido</vt:lpwstr>
  </property>
</Properties>
</file>