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88DD" w14:textId="77777777" w:rsidR="00BC0439" w:rsidRPr="00A215E8" w:rsidRDefault="00000000">
      <w:pPr>
        <w:pStyle w:val="Ttulo"/>
        <w:rPr>
          <w:lang w:val="es-ES"/>
        </w:rPr>
      </w:pPr>
      <w:r w:rsidRPr="00A215E8">
        <w:rPr>
          <w:lang w:val="es-ES"/>
        </w:rPr>
        <w:t>EXPEDIENTE TÉCNICO Y PERFIL DE PROYECTO DE ESPACIO PÚBLICO</w:t>
      </w:r>
    </w:p>
    <w:p w14:paraId="5FFD6392" w14:textId="77777777" w:rsidR="00BC0439" w:rsidRPr="00A215E8" w:rsidRDefault="00000000">
      <w:pPr>
        <w:pStyle w:val="Subttulo"/>
        <w:rPr>
          <w:lang w:val="es-ES"/>
        </w:rPr>
      </w:pPr>
      <w:r w:rsidRPr="00A215E8">
        <w:rPr>
          <w:lang w:val="es-ES"/>
        </w:rPr>
        <w:t>Estructura Operativa y Guía de Formulación conforme a la Guía Estratégica: Cambio de Paradigma en la Planificación Territorial aplicado al Espacio Público (MIT - Viceministerio de Desarrollo Urbano Sostenible y Vivienda / GIZ Ecuador - CIS II)</w:t>
      </w:r>
    </w:p>
    <w:p w14:paraId="16E1B75A" w14:textId="77777777" w:rsidR="00BC0439" w:rsidRPr="00A215E8" w:rsidRDefault="00000000">
      <w:pPr>
        <w:pStyle w:val="Author"/>
        <w:rPr>
          <w:lang w:val="es-ES"/>
        </w:rPr>
      </w:pPr>
      <w:r w:rsidRPr="00A215E8">
        <w:rPr>
          <w:lang w:val="es-ES"/>
        </w:rPr>
        <w:t>Equipo Técnico Interdisciplinario (Economía &amp; Arquitectura - UNL)</w:t>
      </w:r>
    </w:p>
    <w:p w14:paraId="6C43ACF8" w14:textId="77777777" w:rsidR="00BC0439" w:rsidRDefault="00000000">
      <w:pPr>
        <w:pStyle w:val="Fecha"/>
      </w:pPr>
      <w:r>
        <w:t>2026-10-26</w:t>
      </w:r>
    </w:p>
    <w:sdt>
      <w:sdtPr>
        <w:rPr>
          <w:rFonts w:ascii="Times New Roman" w:eastAsiaTheme="minorEastAsia" w:hAnsi="Times New Roman" w:cstheme="minorBidi"/>
          <w:color w:val="000000"/>
          <w:szCs w:val="24"/>
        </w:rPr>
        <w:id w:val="-1233461825"/>
        <w:docPartObj>
          <w:docPartGallery w:val="Table of Contents"/>
          <w:docPartUnique/>
        </w:docPartObj>
      </w:sdtPr>
      <w:sdtContent>
        <w:p w14:paraId="7B4F858D" w14:textId="77777777" w:rsidR="00BC0439" w:rsidRDefault="00000000">
          <w:pPr>
            <w:pStyle w:val="TtuloTDC"/>
            <w:spacing w:before="120" w:after="240"/>
          </w:pPr>
          <w:r>
            <w:rPr>
              <w:rFonts w:ascii="Times New Roman" w:hAnsi="Times New Roman" w:cs="Times New Roman"/>
              <w:b/>
              <w:color w:val="000000"/>
              <w:szCs w:val="24"/>
            </w:rPr>
            <w:t>Índice de Contenido</w:t>
          </w:r>
        </w:p>
        <w:p w14:paraId="34C35BF3" w14:textId="77777777" w:rsidR="00A215E8" w:rsidRDefault="00000000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21735" w:history="1">
            <w:r w:rsidR="00A215E8" w:rsidRPr="008D687F">
              <w:rPr>
                <w:rStyle w:val="Hipervnculo"/>
                <w:noProof/>
              </w:rPr>
              <w:t>Presentación y Marco Metodológico GIZ / MIT</w:t>
            </w:r>
            <w:r w:rsidR="00A215E8">
              <w:rPr>
                <w:noProof/>
                <w:webHidden/>
              </w:rPr>
              <w:tab/>
            </w:r>
            <w:r w:rsidR="00A215E8">
              <w:rPr>
                <w:noProof/>
                <w:webHidden/>
              </w:rPr>
              <w:fldChar w:fldCharType="begin"/>
            </w:r>
            <w:r w:rsidR="00A215E8">
              <w:rPr>
                <w:noProof/>
                <w:webHidden/>
              </w:rPr>
              <w:instrText xml:space="preserve"> PAGEREF _Toc243921735 \h </w:instrText>
            </w:r>
            <w:r w:rsidR="00A215E8">
              <w:rPr>
                <w:noProof/>
                <w:webHidden/>
              </w:rPr>
            </w:r>
            <w:r w:rsidR="00A215E8">
              <w:rPr>
                <w:noProof/>
                <w:webHidden/>
              </w:rPr>
              <w:fldChar w:fldCharType="separate"/>
            </w:r>
            <w:r w:rsidR="00A215E8">
              <w:rPr>
                <w:noProof/>
                <w:webHidden/>
              </w:rPr>
              <w:t>3</w:t>
            </w:r>
            <w:r w:rsidR="00A215E8">
              <w:rPr>
                <w:noProof/>
                <w:webHidden/>
              </w:rPr>
              <w:fldChar w:fldCharType="end"/>
            </w:r>
          </w:hyperlink>
        </w:p>
        <w:p w14:paraId="45AB3824" w14:textId="77777777" w:rsidR="00A215E8" w:rsidRDefault="00A215E8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3921736" w:history="1">
            <w:r w:rsidRPr="008D687F">
              <w:rPr>
                <w:rStyle w:val="Hipervnculo"/>
                <w:noProof/>
              </w:rPr>
              <w:t>Ficha de Proyecto (Project Factsheet) y Trazabilidad en Cascada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5A620" w14:textId="77777777" w:rsidR="00A215E8" w:rsidRDefault="00A215E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921737" w:history="1">
            <w:r w:rsidRPr="008D687F">
              <w:rPr>
                <w:rStyle w:val="Hipervnculo"/>
                <w:noProof/>
              </w:rPr>
              <w:t>Identificación General del Proyecto y Localización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30CCB" w14:textId="77777777" w:rsidR="00A215E8" w:rsidRDefault="00A215E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921738" w:history="1">
            <w:r w:rsidRPr="008D687F">
              <w:rPr>
                <w:rStyle w:val="Hipervnculo"/>
                <w:noProof/>
              </w:rPr>
              <w:t>Cadena de Trazabilidad Causal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E8230" w14:textId="77777777" w:rsidR="00A215E8" w:rsidRDefault="00A215E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921739" w:history="1">
            <w:r w:rsidRPr="008D687F">
              <w:rPr>
                <w:rStyle w:val="Hipervnculo"/>
                <w:noProof/>
              </w:rPr>
              <w:t>Inserción y Rol Estructural en la Red de Espacio Público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55F5A" w14:textId="77777777" w:rsidR="00A215E8" w:rsidRDefault="00A215E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921740" w:history="1">
            <w:r w:rsidRPr="008D687F">
              <w:rPr>
                <w:rStyle w:val="Hipervnculo"/>
                <w:noProof/>
              </w:rPr>
              <w:t>Matriz de Correspondencia de Tipologías en Tres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7D975" w14:textId="77777777" w:rsidR="00A215E8" w:rsidRDefault="00A215E8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3921741" w:history="1">
            <w:r w:rsidRPr="008D687F">
              <w:rPr>
                <w:rStyle w:val="Hipervnculo"/>
                <w:noProof/>
              </w:rPr>
              <w:t>Alineación con el Marco Habilitante y los Seis Enfoques del Paradigma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E4E92" w14:textId="77777777" w:rsidR="00A215E8" w:rsidRDefault="00A215E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921742" w:history="1">
            <w:r w:rsidRPr="008D687F">
              <w:rPr>
                <w:rStyle w:val="Hipervnculo"/>
                <w:noProof/>
              </w:rPr>
              <w:t>Enfoque Articulador: Gobernanza Democrática y Financiamiento por Ciclo de 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914A0" w14:textId="77777777" w:rsidR="00A215E8" w:rsidRDefault="00A215E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921743" w:history="1">
            <w:r w:rsidRPr="008D687F">
              <w:rPr>
                <w:rStyle w:val="Hipervnculo"/>
                <w:noProof/>
              </w:rPr>
              <w:t>Enfoques Transversales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912F2" w14:textId="77777777" w:rsidR="00A215E8" w:rsidRDefault="00A215E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921744" w:history="1">
            <w:r w:rsidRPr="008D687F">
              <w:rPr>
                <w:rStyle w:val="Hipervnculo"/>
                <w:noProof/>
              </w:rPr>
              <w:t>Equidad, Inclusión y Enfoque de Cuidados (Criterio 8-80)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89912" w14:textId="77777777" w:rsidR="00A215E8" w:rsidRDefault="00A215E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921745" w:history="1">
            <w:r w:rsidRPr="008D687F">
              <w:rPr>
                <w:rStyle w:val="Hipervnculo"/>
                <w:noProof/>
              </w:rPr>
              <w:t>Economía Urbana y Vitalidad Económica Cotidiana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50222" w14:textId="77777777" w:rsidR="00A215E8" w:rsidRDefault="00A215E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921746" w:history="1">
            <w:r w:rsidRPr="008D687F">
              <w:rPr>
                <w:rStyle w:val="Hipervnculo"/>
                <w:noProof/>
              </w:rPr>
              <w:t>Salud, Bienestar y Confort Ambiental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FADD7" w14:textId="77777777" w:rsidR="00A215E8" w:rsidRDefault="00A215E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921747" w:history="1">
            <w:r w:rsidRPr="008D687F">
              <w:rPr>
                <w:rStyle w:val="Hipervnculo"/>
                <w:noProof/>
              </w:rPr>
              <w:t>Enfoques Integradores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CE2A0" w14:textId="77777777" w:rsidR="00A215E8" w:rsidRDefault="00A215E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921748" w:history="1">
            <w:r w:rsidRPr="008D687F">
              <w:rPr>
                <w:rStyle w:val="Hipervnculo"/>
                <w:noProof/>
              </w:rPr>
              <w:t>Urbanismo de Proximidad (Ciudad de 10-15 Minutos)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F05F1" w14:textId="77777777" w:rsidR="00A215E8" w:rsidRDefault="00A215E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921749" w:history="1">
            <w:r w:rsidRPr="008D687F">
              <w:rPr>
                <w:rStyle w:val="Hipervnculo"/>
                <w:noProof/>
              </w:rPr>
              <w:t>Ecología Urbana + Ciudad Esponja y Resiliencia Hídrica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C517" w14:textId="77777777" w:rsidR="00A215E8" w:rsidRDefault="00A215E8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3921750" w:history="1">
            <w:r w:rsidRPr="008D687F">
              <w:rPr>
                <w:rStyle w:val="Hipervnculo"/>
                <w:noProof/>
              </w:rPr>
              <w:t>Expediente Técnico de Diseño (Fase 2 del Ciclo de Vida)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CFBB1" w14:textId="77777777" w:rsidR="00A215E8" w:rsidRDefault="00A215E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921751" w:history="1">
            <w:r w:rsidRPr="008D687F">
              <w:rPr>
                <w:rStyle w:val="Hipervnculo"/>
                <w:noProof/>
              </w:rPr>
              <w:t>Evaluación Multicriterio de Alternativas de Diseño (Trade-offs)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08434" w14:textId="77777777" w:rsidR="00A215E8" w:rsidRDefault="00A215E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921752" w:history="1">
            <w:r w:rsidRPr="008D687F">
              <w:rPr>
                <w:rStyle w:val="Hipervnculo"/>
                <w:noProof/>
              </w:rPr>
              <w:t>Planimetría, Dimensionamiento Espacial y Secciones 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C7CA1" w14:textId="77777777" w:rsidR="00A215E8" w:rsidRDefault="00A215E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921753" w:history="1">
            <w:r w:rsidRPr="008D687F">
              <w:rPr>
                <w:rStyle w:val="Hipervnculo"/>
                <w:noProof/>
              </w:rPr>
              <w:t>Reglas Espaciales de Convivencia y Gestión de Conflictos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6201A" w14:textId="77777777" w:rsidR="00A215E8" w:rsidRDefault="00A215E8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3921754" w:history="1">
            <w:r w:rsidRPr="008D687F">
              <w:rPr>
                <w:rStyle w:val="Hipervnculo"/>
                <w:noProof/>
              </w:rPr>
              <w:t>Modelo de Implementación, Puesta en Servicio y Gestión (Fases 3, 4 y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A69B3" w14:textId="77777777" w:rsidR="00A215E8" w:rsidRDefault="00A215E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921755" w:history="1">
            <w:r w:rsidRPr="008D687F">
              <w:rPr>
                <w:rStyle w:val="Hipervnculo"/>
                <w:noProof/>
              </w:rPr>
              <w:t>Fase 3 (Implementación): Plan de Manejo de Obra y Mitigación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5D337" w14:textId="77777777" w:rsidR="00A215E8" w:rsidRDefault="00A215E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921756" w:history="1">
            <w:r w:rsidRPr="008D687F">
              <w:rPr>
                <w:rStyle w:val="Hipervnculo"/>
                <w:noProof/>
              </w:rPr>
              <w:t>Fase 4 (Puesta en Servicio): Activación Inicial y Cierre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4C0FF" w14:textId="77777777" w:rsidR="00A215E8" w:rsidRDefault="00A215E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921757" w:history="1">
            <w:r w:rsidRPr="008D687F">
              <w:rPr>
                <w:rStyle w:val="Hipervnculo"/>
                <w:noProof/>
              </w:rPr>
              <w:t>Fase 5 (Gestión): Costos del Ciclo de Vida (CAPEX + OPEX)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CAC37" w14:textId="77777777" w:rsidR="00A215E8" w:rsidRDefault="00A215E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921758" w:history="1">
            <w:r w:rsidRPr="008D687F">
              <w:rPr>
                <w:rStyle w:val="Hipervnculo"/>
                <w:noProof/>
              </w:rPr>
              <w:t>Presupuesto de Inversión Inicial (CAPEX)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76895" w14:textId="77777777" w:rsidR="00A215E8" w:rsidRDefault="00A215E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921759" w:history="1">
            <w:r w:rsidRPr="008D687F">
              <w:rPr>
                <w:rStyle w:val="Hipervnculo"/>
                <w:noProof/>
              </w:rPr>
              <w:t>Presupuesto Operativo y de Mantenimiento Preventivo (OPEX)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41B95" w14:textId="77777777" w:rsidR="00A215E8" w:rsidRDefault="00A215E8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3921760" w:history="1">
            <w:r w:rsidRPr="008D687F">
              <w:rPr>
                <w:rStyle w:val="Hipervnculo"/>
                <w:noProof/>
              </w:rPr>
              <w:t>Sistema de Monitoreo, Evaluación y Retroalimentación (SMER / MNI)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2FBEC" w14:textId="77777777" w:rsidR="00A215E8" w:rsidRDefault="00A215E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921761" w:history="1">
            <w:r w:rsidRPr="008D687F">
              <w:rPr>
                <w:rStyle w:val="Hipervnculo"/>
                <w:noProof/>
              </w:rPr>
              <w:t>Batería de Indicadores de Impacto en Calidad de 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4993" w14:textId="77777777" w:rsidR="00A215E8" w:rsidRDefault="00A215E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921762" w:history="1">
            <w:r w:rsidRPr="008D687F">
              <w:rPr>
                <w:rStyle w:val="Hipervnculo"/>
                <w:noProof/>
              </w:rPr>
              <w:t>Trazabilidad de Participación Ciudadana Incidente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E7921" w14:textId="77777777" w:rsidR="00A215E8" w:rsidRDefault="00A215E8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3921763" w:history="1">
            <w:r w:rsidRPr="008D687F">
              <w:rPr>
                <w:rStyle w:val="Hipervnculo"/>
                <w:noProof/>
              </w:rPr>
              <w:t>Anexos Técnicos del Expediente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989AF" w14:textId="77777777" w:rsidR="00A215E8" w:rsidRDefault="00A215E8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3921764" w:history="1">
            <w:r w:rsidRPr="008D687F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3B5DF" w14:textId="77777777" w:rsidR="00BC0439" w:rsidRDefault="00000000">
          <w:r>
            <w:fldChar w:fldCharType="end"/>
          </w:r>
        </w:p>
        <w:p w14:paraId="78F51ECC" w14:textId="77777777" w:rsidR="00BC0439" w:rsidRDefault="00000000">
          <w:r>
            <w:br w:type="page"/>
          </w:r>
        </w:p>
      </w:sdtContent>
    </w:sdt>
    <w:p w14:paraId="6EAB82CD" w14:textId="77777777" w:rsidR="00BC0439" w:rsidRPr="00A215E8" w:rsidRDefault="00000000">
      <w:pPr>
        <w:pStyle w:val="Ttulo1"/>
        <w:rPr>
          <w:lang w:val="es-ES"/>
        </w:rPr>
      </w:pPr>
      <w:bookmarkStart w:id="0" w:name="X251cc4bc6dfe4ae4dc75a8013ded2750b353af1"/>
      <w:bookmarkStart w:id="1" w:name="_Toc243921735"/>
      <w:r w:rsidRPr="00A215E8">
        <w:rPr>
          <w:rFonts w:ascii="Times New Roman" w:hAnsi="Times New Roman"/>
          <w:lang w:val="es-ES"/>
        </w:rPr>
        <w:lastRenderedPageBreak/>
        <w:t>Presentación y Marco Metodológico GIZ / MIT</w:t>
      </w:r>
      <w:bookmarkEnd w:id="1"/>
    </w:p>
    <w:p w14:paraId="44C5D4B4" w14:textId="77777777" w:rsidR="00BC0439" w:rsidRPr="00A215E8" w:rsidRDefault="00000000">
      <w:pPr>
        <w:pStyle w:val="FirstParagraph"/>
        <w:jc w:val="both"/>
        <w:rPr>
          <w:lang w:val="es-ES"/>
        </w:rPr>
      </w:pPr>
      <w:r w:rsidRPr="00A215E8">
        <w:rPr>
          <w:lang w:val="es-ES"/>
        </w:rPr>
        <w:t xml:space="preserve">La presente plantilla institucional constituye el instrumento técnico exigido para la estructuración del expediente técnico y perfil de proyectos urbanos según la </w:t>
      </w:r>
      <w:r w:rsidRPr="00A215E8">
        <w:rPr>
          <w:i/>
          <w:iCs/>
          <w:lang w:val="es-ES"/>
        </w:rPr>
        <w:t>Guía Estratégica: Cambio de Paradigma en la Planificación Territorial aplicado al Espacio Público</w:t>
      </w:r>
      <w:r w:rsidRPr="00A215E8">
        <w:rPr>
          <w:lang w:val="es-ES"/>
        </w:rPr>
        <w:t xml:space="preserve"> (Ministerio de Infraestructura y Transporte [MIT], Viceministerio de Desarrollo Urbano Sostenible y Vivienda, y Deutsche Gesellschaft für Internationale Zusammenarbeit [GIZ], 2025).</w:t>
      </w:r>
    </w:p>
    <w:p w14:paraId="747DDC52" w14:textId="77777777" w:rsidR="00BC0439" w:rsidRPr="00A215E8" w:rsidRDefault="00000000">
      <w:pPr>
        <w:pStyle w:val="Textoindependiente"/>
        <w:jc w:val="both"/>
        <w:rPr>
          <w:lang w:val="es-ES"/>
        </w:rPr>
      </w:pPr>
      <w:r w:rsidRPr="00A215E8">
        <w:rPr>
          <w:lang w:val="es-ES"/>
        </w:rPr>
        <w:t>El propósito central de este marco es superar el paradigma tradicional de obras aisladas (</w:t>
      </w:r>
      <w:r w:rsidRPr="00A215E8">
        <w:rPr>
          <w:i/>
          <w:iCs/>
          <w:lang w:val="es-ES"/>
        </w:rPr>
        <w:t>plan-obra-abandono</w:t>
      </w:r>
      <w:r w:rsidRPr="00A215E8">
        <w:rPr>
          <w:lang w:val="es-ES"/>
        </w:rPr>
        <w:t xml:space="preserve">), reemplazándolo por un enfoque sistémico de red, derechos ciudadanos y ciclo de vida integral (Planificación </w:t>
      </w:r>
      <m:oMath>
        <m:r>
          <m:rPr>
            <m:sty m:val="p"/>
          </m:rPr>
          <w:rPr>
            <w:rFonts w:ascii="Cambria Math" w:hAnsi="Cambria Math"/>
            <w:lang w:val="es-ES"/>
          </w:rPr>
          <m:t>→</m:t>
        </m:r>
      </m:oMath>
      <w:r w:rsidRPr="00A215E8">
        <w:rPr>
          <w:lang w:val="es-ES"/>
        </w:rPr>
        <w:t xml:space="preserve"> Diseño </w:t>
      </w:r>
      <m:oMath>
        <m:r>
          <m:rPr>
            <m:sty m:val="p"/>
          </m:rPr>
          <w:rPr>
            <w:rFonts w:ascii="Cambria Math" w:hAnsi="Cambria Math"/>
            <w:lang w:val="es-ES"/>
          </w:rPr>
          <m:t>→</m:t>
        </m:r>
      </m:oMath>
      <w:r w:rsidRPr="00A215E8">
        <w:rPr>
          <w:lang w:val="es-ES"/>
        </w:rPr>
        <w:t xml:space="preserve"> Implementación </w:t>
      </w:r>
      <m:oMath>
        <m:r>
          <m:rPr>
            <m:sty m:val="p"/>
          </m:rPr>
          <w:rPr>
            <w:rFonts w:ascii="Cambria Math" w:hAnsi="Cambria Math"/>
            <w:lang w:val="es-ES"/>
          </w:rPr>
          <m:t>→</m:t>
        </m:r>
      </m:oMath>
      <w:r w:rsidRPr="00A215E8">
        <w:rPr>
          <w:lang w:val="es-ES"/>
        </w:rPr>
        <w:t xml:space="preserve"> Puesta en servicio </w:t>
      </w:r>
      <m:oMath>
        <m:r>
          <m:rPr>
            <m:sty m:val="p"/>
          </m:rPr>
          <w:rPr>
            <w:rFonts w:ascii="Cambria Math" w:hAnsi="Cambria Math"/>
            <w:lang w:val="es-ES"/>
          </w:rPr>
          <m:t>→</m:t>
        </m:r>
      </m:oMath>
      <w:r w:rsidRPr="00A215E8">
        <w:rPr>
          <w:lang w:val="es-ES"/>
        </w:rPr>
        <w:t xml:space="preserve"> Gestión y Monitoreo). Los campos delimitados entre corchetes </w:t>
      </w:r>
      <w:r w:rsidRPr="00A215E8">
        <w:rPr>
          <w:rStyle w:val="VerbatimChar"/>
          <w:rFonts w:ascii="Times New Roman" w:hAnsi="Times New Roman"/>
          <w:sz w:val="24"/>
          <w:lang w:val="es-ES"/>
        </w:rPr>
        <w:t>[Completar: ...]</w:t>
      </w:r>
      <w:r w:rsidRPr="00A215E8">
        <w:rPr>
          <w:lang w:val="es-ES"/>
        </w:rPr>
        <w:t xml:space="preserve"> representan los registros específicos que deben ser completados por el equipo formulador a partir de los levantamientos de campo, microdatos censales (INEC CPV 2022) y el anteproyecto urbano.</w:t>
      </w:r>
    </w:p>
    <w:p w14:paraId="1B7A3B50" w14:textId="77777777" w:rsidR="00BC0439" w:rsidRPr="00A215E8" w:rsidRDefault="00000000">
      <w:pPr>
        <w:pStyle w:val="Ttulo1"/>
        <w:rPr>
          <w:lang w:val="es-ES"/>
        </w:rPr>
      </w:pPr>
      <w:bookmarkStart w:id="2" w:name="X25a885e34b47ff05c680d3e19b9ae6e44fb29db"/>
      <w:bookmarkStart w:id="3" w:name="_Toc243921736"/>
      <w:bookmarkEnd w:id="0"/>
      <w:r w:rsidRPr="00A215E8">
        <w:rPr>
          <w:rFonts w:ascii="Times New Roman" w:hAnsi="Times New Roman"/>
          <w:lang w:val="es-ES"/>
        </w:rPr>
        <w:t>Ficha de Proyecto (Project Factsheet) y Trazabilidad en Cascada</w:t>
      </w:r>
      <w:bookmarkEnd w:id="3"/>
    </w:p>
    <w:p w14:paraId="3B4239EA" w14:textId="77777777" w:rsidR="00BC0439" w:rsidRPr="00A215E8" w:rsidRDefault="00000000">
      <w:pPr>
        <w:pStyle w:val="Ttulo2"/>
        <w:rPr>
          <w:lang w:val="es-ES"/>
        </w:rPr>
      </w:pPr>
      <w:bookmarkStart w:id="4" w:name="Xfaf5769bf620919ec256d463c36f32ac2af8557"/>
      <w:bookmarkStart w:id="5" w:name="_Toc243921737"/>
      <w:r w:rsidRPr="00A215E8">
        <w:rPr>
          <w:rFonts w:ascii="Times New Roman" w:hAnsi="Times New Roman"/>
          <w:lang w:val="es-ES"/>
        </w:rPr>
        <w:t>Identificación General del Proyecto y Localización</w:t>
      </w:r>
      <w:bookmarkEnd w:id="5"/>
    </w:p>
    <w:p w14:paraId="76B49547" w14:textId="77777777" w:rsidR="00BC0439" w:rsidRPr="00A215E8" w:rsidRDefault="00000000">
      <w:pPr>
        <w:jc w:val="both"/>
        <w:rPr>
          <w:lang w:val="es-ES"/>
        </w:rPr>
      </w:pPr>
      <w:r w:rsidRPr="00A215E8">
        <w:rPr>
          <w:rFonts w:cs="Times New Roman"/>
          <w:b/>
          <w:bCs/>
          <w:lang w:val="es-ES"/>
        </w:rPr>
        <w:t>Tabla 1</w:t>
      </w:r>
    </w:p>
    <w:p w14:paraId="08CFCBBE" w14:textId="77777777" w:rsidR="00BC0439" w:rsidRPr="00A215E8" w:rsidRDefault="00000000">
      <w:pPr>
        <w:jc w:val="both"/>
        <w:rPr>
          <w:lang w:val="es-ES"/>
        </w:rPr>
      </w:pPr>
      <w:r w:rsidRPr="00A215E8">
        <w:rPr>
          <w:rFonts w:cs="Times New Roman"/>
          <w:i/>
          <w:iCs/>
          <w:lang w:val="es-ES"/>
        </w:rPr>
        <w:t>Identificación general del proyecto y localización político-administrativa</w:t>
      </w:r>
    </w:p>
    <w:tbl>
      <w:tblPr>
        <w:tblStyle w:val="Table"/>
        <w:tblW w:w="5000" w:type="pct"/>
        <w:tblBorders>
          <w:top w:val="single" w:sz="8" w:space="0" w:color="000000"/>
          <w:bottom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39"/>
        <w:gridCol w:w="4539"/>
      </w:tblGrid>
      <w:tr w:rsidR="00BC0439" w14:paraId="3D6AE8B9" w14:textId="77777777" w:rsidTr="00BC0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7F0BF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Parámetro Institucional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B961E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Registro Técnico / Evidencia Territorial</w:t>
            </w:r>
          </w:p>
        </w:tc>
      </w:tr>
      <w:tr w:rsidR="00BC0439" w:rsidRPr="00A215E8" w14:paraId="725945F4" w14:textId="77777777" w:rsidTr="00BC0439"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EC34B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Nombre Oficial del Proyecto: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6F607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rStyle w:val="VerbatimChar"/>
                <w:rFonts w:ascii="Times New Roman" w:hAnsi="Times New Roman"/>
                <w:sz w:val="20"/>
                <w:lang w:val="es-ES"/>
              </w:rPr>
              <w:t>[Completar: Ej. Intervención Integral, Movilidad Activa y Resiliencia Hídrica en el Barrio El Capulí]</w:t>
            </w:r>
          </w:p>
        </w:tc>
      </w:tr>
      <w:tr w:rsidR="00BC0439" w:rsidRPr="00A215E8" w14:paraId="096395A6" w14:textId="77777777" w:rsidTr="00BC0439"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D928E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sz w:val="20"/>
                <w:lang w:val="es-ES"/>
              </w:rPr>
              <w:t>Código de Registro Territorial / Expediente: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C479A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rStyle w:val="VerbatimChar"/>
                <w:rFonts w:ascii="Times New Roman" w:hAnsi="Times New Roman"/>
                <w:sz w:val="20"/>
                <w:lang w:val="es-ES"/>
              </w:rPr>
              <w:t>[Completar: Ej. GAD-LOJA-CIS-II-2026-001]</w:t>
            </w:r>
          </w:p>
        </w:tc>
      </w:tr>
      <w:tr w:rsidR="00BC0439" w:rsidRPr="00A215E8" w14:paraId="1E807B97" w14:textId="77777777" w:rsidTr="00BC0439"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0A559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Entidad Proponente y Promotora: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41759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sz w:val="20"/>
                <w:lang w:val="es-ES"/>
              </w:rPr>
              <w:t>GAD Municipal de Loja en articulación técnica con la Universidad Nacional de Loja</w:t>
            </w:r>
          </w:p>
        </w:tc>
      </w:tr>
      <w:tr w:rsidR="00BC0439" w:rsidRPr="00A215E8" w14:paraId="72AD2948" w14:textId="77777777" w:rsidTr="00BC0439"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2038E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Nivel Territorial / Jurisdicción: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F452A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sz w:val="20"/>
                <w:lang w:val="es-ES"/>
              </w:rPr>
              <w:t xml:space="preserve">Ecuador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→</m:t>
              </m:r>
            </m:oMath>
            <w:r w:rsidRPr="00A215E8">
              <w:rPr>
                <w:sz w:val="20"/>
                <w:lang w:val="es-ES"/>
              </w:rPr>
              <w:t xml:space="preserve"> Provincia de Loja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→</m:t>
              </m:r>
            </m:oMath>
            <w:r w:rsidRPr="00A215E8">
              <w:rPr>
                <w:sz w:val="20"/>
                <w:lang w:val="es-ES"/>
              </w:rPr>
              <w:t xml:space="preserve"> Cantón Loja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→</m:t>
              </m:r>
            </m:oMath>
            <w:r w:rsidRPr="00A215E8">
              <w:rPr>
                <w:sz w:val="20"/>
                <w:lang w:val="es-ES"/>
              </w:rPr>
              <w:t xml:space="preserve"> Parroquia Punzara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→</m:t>
              </m:r>
            </m:oMath>
            <w:r w:rsidRPr="00A215E8">
              <w:rPr>
                <w:sz w:val="20"/>
                <w:lang w:val="es-ES"/>
              </w:rPr>
              <w:t xml:space="preserve"> Sector El Capulí</w:t>
            </w:r>
          </w:p>
        </w:tc>
      </w:tr>
      <w:tr w:rsidR="00BC0439" w:rsidRPr="00A215E8" w14:paraId="74771F5C" w14:textId="77777777" w:rsidTr="00BC0439"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5A4DE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sz w:val="20"/>
                <w:lang w:val="es-ES"/>
              </w:rPr>
              <w:t>Coordenadas Georreferenciadas (WGS84 / UTM 17S):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2C046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rStyle w:val="VerbatimChar"/>
                <w:rFonts w:ascii="Times New Roman" w:hAnsi="Times New Roman"/>
                <w:sz w:val="20"/>
                <w:lang w:val="es-ES"/>
              </w:rPr>
              <w:t>[Completar: Coordenadas Centroide X: ... , Y: ... / Polígono Shapefile en QGIS]</w:t>
            </w:r>
          </w:p>
        </w:tc>
      </w:tr>
      <w:tr w:rsidR="00BC0439" w:rsidRPr="00A215E8" w14:paraId="6308B79B" w14:textId="77777777" w:rsidTr="00BC0439"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AF5D9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Área de Intervención Directa: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64F2F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rStyle w:val="VerbatimChar"/>
                <w:rFonts w:ascii="Times New Roman" w:hAnsi="Times New Roman"/>
                <w:sz w:val="20"/>
                <w:lang w:val="es-ES"/>
              </w:rPr>
              <w:t xml:space="preserve">[Completar: Superficie en hectáreas / m² del polígono </w:t>
            </w:r>
            <w:r w:rsidRPr="00A215E8">
              <w:rPr>
                <w:rStyle w:val="VerbatimChar"/>
                <w:rFonts w:ascii="Times New Roman" w:hAnsi="Times New Roman"/>
                <w:sz w:val="20"/>
                <w:lang w:val="es-ES"/>
              </w:rPr>
              <w:lastRenderedPageBreak/>
              <w:t>de obra prioritaria]</w:t>
            </w:r>
          </w:p>
        </w:tc>
      </w:tr>
      <w:tr w:rsidR="00BC0439" w:rsidRPr="00A215E8" w14:paraId="798A5CB8" w14:textId="77777777" w:rsidTr="00BC0439"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8A71F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lastRenderedPageBreak/>
              <w:t>Área de Influencia Indirecta: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04D18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rStyle w:val="VerbatimChar"/>
                <w:rFonts w:ascii="Times New Roman" w:hAnsi="Times New Roman"/>
                <w:sz w:val="20"/>
                <w:lang w:val="es-ES"/>
              </w:rPr>
              <w:t>[Completar: Hectáreas de cuenca urbana y buffer de caminabilidad (5-15 min)]</w:t>
            </w:r>
          </w:p>
        </w:tc>
      </w:tr>
      <w:tr w:rsidR="00BC0439" w:rsidRPr="00A215E8" w14:paraId="27C0053F" w14:textId="77777777" w:rsidTr="00BC0439"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3F83A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Población Beneficiaria Directa (Habitantes):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6ACCD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rStyle w:val="VerbatimChar"/>
                <w:rFonts w:ascii="Times New Roman" w:hAnsi="Times New Roman"/>
                <w:sz w:val="20"/>
                <w:lang w:val="es-ES"/>
              </w:rPr>
              <w:t>[Completar: Residentes desagregados por sexo, niñez, adultos mayores y PcD]</w:t>
            </w:r>
          </w:p>
        </w:tc>
      </w:tr>
      <w:tr w:rsidR="00BC0439" w:rsidRPr="00A215E8" w14:paraId="24FA1AA1" w14:textId="77777777" w:rsidTr="00BC0439"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61463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Población Beneficiaria Flotante / Indirecta: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8CCEA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rStyle w:val="VerbatimChar"/>
                <w:rFonts w:ascii="Times New Roman" w:hAnsi="Times New Roman"/>
                <w:sz w:val="20"/>
                <w:lang w:val="es-ES"/>
              </w:rPr>
              <w:t>[Completar: Usuarios del campus UNL La Argelia, estudiantes y peatones del corredor]</w:t>
            </w:r>
          </w:p>
        </w:tc>
      </w:tr>
      <w:tr w:rsidR="00BC0439" w:rsidRPr="00A215E8" w14:paraId="0A3D0543" w14:textId="77777777" w:rsidTr="00BC0439"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C6270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Horizonte Temporal del Proyecto: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93543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sz w:val="20"/>
                <w:lang w:val="es-ES"/>
              </w:rPr>
              <w:t>Formulación: 2026 | Ejecución: 2027 | Operación: 2028 | Vida útil: 25 años</w:t>
            </w:r>
          </w:p>
        </w:tc>
      </w:tr>
    </w:tbl>
    <w:p w14:paraId="61FF9E79" w14:textId="77777777" w:rsidR="00BC0439" w:rsidRPr="00A215E8" w:rsidRDefault="00000000">
      <w:pPr>
        <w:pStyle w:val="Textoindependiente"/>
        <w:jc w:val="both"/>
        <w:rPr>
          <w:lang w:val="es-ES"/>
        </w:rPr>
      </w:pPr>
      <w:r w:rsidRPr="00A215E8">
        <w:rPr>
          <w:i/>
          <w:iCs/>
          <w:lang w:val="es-ES"/>
        </w:rPr>
        <w:t>Nota.</w:t>
      </w:r>
      <w:r w:rsidRPr="00A215E8">
        <w:rPr>
          <w:lang w:val="es-ES"/>
        </w:rPr>
        <w:t xml:space="preserve"> Datos consolidados a partir del Censo de Población y Vivienda (INEC, 2022) y cartografía base del GAD Municipal de Loja.</w:t>
      </w:r>
    </w:p>
    <w:p w14:paraId="266F7E92" w14:textId="77777777" w:rsidR="00BC0439" w:rsidRPr="00A215E8" w:rsidRDefault="00000000">
      <w:pPr>
        <w:pStyle w:val="Ttulo2"/>
        <w:rPr>
          <w:lang w:val="es-ES"/>
        </w:rPr>
      </w:pPr>
      <w:bookmarkStart w:id="6" w:name="X26ceafa3f77028a6468afe0ec3644e211ffd69f"/>
      <w:bookmarkStart w:id="7" w:name="_Toc243921738"/>
      <w:bookmarkEnd w:id="4"/>
      <w:r w:rsidRPr="00A215E8">
        <w:rPr>
          <w:rFonts w:ascii="Times New Roman" w:hAnsi="Times New Roman"/>
          <w:lang w:val="es-ES"/>
        </w:rPr>
        <w:t>Cadena de Trazabilidad Causal del Proyecto</w:t>
      </w:r>
      <w:bookmarkEnd w:id="7"/>
    </w:p>
    <w:p w14:paraId="1E576F1F" w14:textId="77777777" w:rsidR="00BC0439" w:rsidRPr="00A215E8" w:rsidRDefault="00000000">
      <w:pPr>
        <w:pStyle w:val="FirstParagraph"/>
        <w:jc w:val="both"/>
        <w:rPr>
          <w:lang w:val="es-ES"/>
        </w:rPr>
      </w:pPr>
      <w:r w:rsidRPr="00A215E8">
        <w:rPr>
          <w:lang w:val="es-ES"/>
        </w:rPr>
        <w:t>Conforme a la metodología GIZ/MIT, la justificación del proyecto debe establecer una conexión causal continua que enlace el déficit estructural con indicadores verificables de calidad de vida.</w:t>
      </w:r>
    </w:p>
    <w:p w14:paraId="1B4EC810" w14:textId="77777777" w:rsidR="00BC0439" w:rsidRPr="00A215E8" w:rsidRDefault="00000000" w:rsidP="00A215E8">
      <w:pPr>
        <w:ind w:firstLine="0"/>
        <w:jc w:val="both"/>
        <w:rPr>
          <w:lang w:val="es-ES"/>
        </w:rPr>
      </w:pPr>
      <w:r w:rsidRPr="00A215E8">
        <w:rPr>
          <w:rFonts w:cs="Times New Roman"/>
          <w:b/>
          <w:bCs/>
          <w:lang w:val="es-ES"/>
        </w:rPr>
        <w:t>Tabla 2</w:t>
      </w:r>
    </w:p>
    <w:p w14:paraId="385DD273" w14:textId="77777777" w:rsidR="00BC0439" w:rsidRPr="00A215E8" w:rsidRDefault="00000000" w:rsidP="00A215E8">
      <w:pPr>
        <w:ind w:firstLine="0"/>
        <w:jc w:val="both"/>
        <w:rPr>
          <w:lang w:val="es-ES"/>
        </w:rPr>
      </w:pPr>
      <w:r w:rsidRPr="00A215E8">
        <w:rPr>
          <w:rFonts w:cs="Times New Roman"/>
          <w:i/>
          <w:iCs/>
          <w:lang w:val="es-ES"/>
        </w:rPr>
        <w:t>Cadena de trazabilidad causal: brecha, objetivo, estrategia, meta e indicador</w:t>
      </w:r>
    </w:p>
    <w:tbl>
      <w:tblPr>
        <w:tblStyle w:val="Table"/>
        <w:tblW w:w="5000" w:type="pct"/>
        <w:tblBorders>
          <w:top w:val="single" w:sz="8" w:space="0" w:color="000000"/>
          <w:bottom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26"/>
        <w:gridCol w:w="3026"/>
        <w:gridCol w:w="3026"/>
      </w:tblGrid>
      <w:tr w:rsidR="00BC0439" w14:paraId="09C4A09E" w14:textId="77777777" w:rsidTr="00BC0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F47F1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Eslabón de la Cadena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7AAF1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Definición Operativa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5907B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Registro Específico del Proyecto</w:t>
            </w:r>
          </w:p>
        </w:tc>
      </w:tr>
      <w:tr w:rsidR="00BC0439" w:rsidRPr="00A215E8" w14:paraId="62CD99F2" w14:textId="77777777" w:rsidTr="00BC0439"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29062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1. Brecha Principal Identificada: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9E848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sz w:val="20"/>
                <w:lang w:val="es-ES"/>
              </w:rPr>
              <w:t>Problema estructural territorial y de derechos a resolver.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0BC1F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rStyle w:val="VerbatimChar"/>
                <w:rFonts w:ascii="Times New Roman" w:hAnsi="Times New Roman"/>
                <w:sz w:val="20"/>
                <w:lang w:val="es-ES"/>
              </w:rPr>
              <w:t>[Completar: ej. Aislamiento físico, déficit &gt;80% de aceras accesibles y riesgo hídrico]</w:t>
            </w:r>
          </w:p>
        </w:tc>
      </w:tr>
      <w:tr w:rsidR="00BC0439" w:rsidRPr="00A215E8" w14:paraId="633BFC22" w14:textId="77777777" w:rsidTr="00BC0439"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7CAF6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sz w:val="20"/>
                <w:lang w:val="es-ES"/>
              </w:rPr>
              <w:t>2. Objetivo de Calidad de Vida: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1E97A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sz w:val="20"/>
                <w:lang w:val="es-ES"/>
              </w:rPr>
              <w:t>Propósito de bienestar y cambio conductual en la población.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6CA4F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rStyle w:val="VerbatimChar"/>
                <w:rFonts w:ascii="Times New Roman" w:hAnsi="Times New Roman"/>
                <w:sz w:val="20"/>
                <w:lang w:val="es-ES"/>
              </w:rPr>
              <w:t>[Completar: ej. Garantizar accesibilidad universal y seguridad ante escorrentías]</w:t>
            </w:r>
          </w:p>
        </w:tc>
      </w:tr>
      <w:tr w:rsidR="00BC0439" w:rsidRPr="00A215E8" w14:paraId="18396C09" w14:textId="77777777" w:rsidTr="00BC0439"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4907A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3. Estrategia Territorial: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74FEB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sz w:val="20"/>
                <w:lang w:val="es-ES"/>
              </w:rPr>
              <w:t>Intervención en red orientada al cambio de paradigma.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1BBAC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rStyle w:val="VerbatimChar"/>
                <w:rFonts w:ascii="Times New Roman" w:hAnsi="Times New Roman"/>
                <w:sz w:val="20"/>
                <w:lang w:val="es-ES"/>
              </w:rPr>
              <w:t>[Completar: ej. Red de Calle Completa 8-80 articulada con SUDS y Parque Fluvial]</w:t>
            </w:r>
          </w:p>
        </w:tc>
      </w:tr>
      <w:tr w:rsidR="00BC0439" w:rsidRPr="00A215E8" w14:paraId="39F63768" w14:textId="77777777" w:rsidTr="00BC0439"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251BC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4. Meta Verificable del Proyecto: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6898B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sz w:val="20"/>
                <w:lang w:val="es-ES"/>
              </w:rPr>
              <w:t>Producto físico o estándar de servicio cuantificable.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750DE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rStyle w:val="VerbatimChar"/>
                <w:rFonts w:ascii="Times New Roman" w:hAnsi="Times New Roman"/>
                <w:sz w:val="20"/>
                <w:lang w:val="es-ES"/>
              </w:rPr>
              <w:t>[Completar: ej. 2.5 km de veredas continuas y 100% de escorrentía amortiguada]</w:t>
            </w:r>
          </w:p>
        </w:tc>
      </w:tr>
      <w:tr w:rsidR="00BC0439" w:rsidRPr="00A215E8" w14:paraId="59E8AABC" w14:textId="77777777" w:rsidTr="00BC0439"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853B1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5. Indicador de Impacto: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F8F01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sz w:val="20"/>
                <w:lang w:val="es-ES"/>
              </w:rPr>
              <w:t xml:space="preserve">Métrica de resultado vinculada a </w:t>
            </w:r>
            <w:r w:rsidRPr="00A215E8">
              <w:rPr>
                <w:sz w:val="20"/>
                <w:lang w:val="es-ES"/>
              </w:rPr>
              <w:lastRenderedPageBreak/>
              <w:t>la vida cotidiana.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E142D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rStyle w:val="VerbatimChar"/>
                <w:rFonts w:ascii="Times New Roman" w:hAnsi="Times New Roman"/>
                <w:sz w:val="20"/>
                <w:lang w:val="es-ES"/>
              </w:rPr>
              <w:lastRenderedPageBreak/>
              <w:t xml:space="preserve">[Completar: ej. Reducción de </w:t>
            </w:r>
            <w:r w:rsidRPr="00A215E8">
              <w:rPr>
                <w:rStyle w:val="VerbatimChar"/>
                <w:rFonts w:ascii="Times New Roman" w:hAnsi="Times New Roman"/>
                <w:sz w:val="20"/>
                <w:lang w:val="es-ES"/>
              </w:rPr>
              <w:lastRenderedPageBreak/>
              <w:t>tiempo a pie de 25 a 10 min hacia el campus UNL]</w:t>
            </w:r>
          </w:p>
        </w:tc>
      </w:tr>
    </w:tbl>
    <w:p w14:paraId="4DEAC477" w14:textId="77777777" w:rsidR="00BC0439" w:rsidRPr="00A215E8" w:rsidRDefault="00000000">
      <w:pPr>
        <w:pStyle w:val="Textoindependiente"/>
        <w:jc w:val="both"/>
        <w:rPr>
          <w:lang w:val="es-ES"/>
        </w:rPr>
      </w:pPr>
      <w:r w:rsidRPr="00A215E8">
        <w:rPr>
          <w:i/>
          <w:iCs/>
          <w:lang w:val="es-ES"/>
        </w:rPr>
        <w:lastRenderedPageBreak/>
        <w:t>Nota.</w:t>
      </w:r>
      <w:r w:rsidRPr="00A215E8">
        <w:rPr>
          <w:lang w:val="es-ES"/>
        </w:rPr>
        <w:t xml:space="preserve"> Elaboración con base en los lineamientos de la Fase 2 (Diseño) de la Guía Estratégica (MIT &amp; GIZ, 2025).</w:t>
      </w:r>
    </w:p>
    <w:p w14:paraId="427FF5BA" w14:textId="77777777" w:rsidR="00BC0439" w:rsidRPr="00A215E8" w:rsidRDefault="00000000">
      <w:pPr>
        <w:pStyle w:val="Ttulo2"/>
        <w:rPr>
          <w:lang w:val="es-ES"/>
        </w:rPr>
      </w:pPr>
      <w:bookmarkStart w:id="8" w:name="Xe314283f75f2ff5ef0f7782ceea6ab7e5bd4c96"/>
      <w:bookmarkStart w:id="9" w:name="_Toc243921739"/>
      <w:bookmarkEnd w:id="6"/>
      <w:r w:rsidRPr="00A215E8">
        <w:rPr>
          <w:rFonts w:ascii="Times New Roman" w:hAnsi="Times New Roman"/>
          <w:lang w:val="es-ES"/>
        </w:rPr>
        <w:t>Inserción y Rol Estructural en la Red de Espacio Público</w:t>
      </w:r>
      <w:bookmarkEnd w:id="9"/>
    </w:p>
    <w:p w14:paraId="4202BB02" w14:textId="77777777" w:rsidR="00BC0439" w:rsidRPr="00A215E8" w:rsidRDefault="00000000">
      <w:pPr>
        <w:pStyle w:val="FirstParagraph"/>
        <w:jc w:val="both"/>
        <w:rPr>
          <w:lang w:val="es-ES"/>
        </w:rPr>
      </w:pPr>
      <w:r w:rsidRPr="00A215E8">
        <w:rPr>
          <w:lang w:val="es-ES"/>
        </w:rPr>
        <w:t>El espacio público se formula como un sistema continuo (vial + verde-azul + estancial) que supera la fragmentación urbana:</w:t>
      </w:r>
    </w:p>
    <w:p w14:paraId="7DCD1EC7" w14:textId="77777777" w:rsidR="00BC0439" w:rsidRPr="00A215E8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A215E8">
        <w:rPr>
          <w:b/>
          <w:bCs/>
          <w:lang w:val="es-ES"/>
        </w:rPr>
        <w:t>Rol Estructural en la Red Cantonal:</w:t>
      </w:r>
      <w:r w:rsidRPr="00A215E8">
        <w:rPr>
          <w:lang w:val="es-ES"/>
        </w:rPr>
        <w:t xml:space="preserve"> Conector de proximidad y amortiguamiento ambiental que articula el tejido barrial con la red estructurante sur del cantón Loja.</w:t>
      </w:r>
    </w:p>
    <w:p w14:paraId="4122BD71" w14:textId="77777777" w:rsidR="00BC0439" w:rsidRPr="00A215E8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A215E8">
        <w:rPr>
          <w:b/>
          <w:bCs/>
          <w:lang w:val="es-ES"/>
        </w:rPr>
        <w:t>Continuidad de Red Garantizada:</w:t>
      </w:r>
      <w:r w:rsidRPr="00A215E8">
        <w:rPr>
          <w:lang w:val="es-ES"/>
        </w:rPr>
        <w:t xml:space="preserve"> </w:t>
      </w:r>
      <w:r w:rsidRPr="00A215E8">
        <w:rPr>
          <w:rStyle w:val="VerbatimChar"/>
          <w:lang w:val="es-ES"/>
        </w:rPr>
        <w:t>[Completar: Describir la conexión fluida entre la vía arterial Av. Reinaldo Espinosa, el transporte colectivo urbano, los senderos peatonales hacia el Campus La Argelia y la microcuenca ribereña del río Capulí.]</w:t>
      </w:r>
    </w:p>
    <w:p w14:paraId="6CCA6958" w14:textId="77777777" w:rsidR="00BC0439" w:rsidRPr="00A215E8" w:rsidRDefault="00000000">
      <w:pPr>
        <w:pStyle w:val="Ttulo2"/>
        <w:rPr>
          <w:lang w:val="es-ES"/>
        </w:rPr>
      </w:pPr>
      <w:bookmarkStart w:id="10" w:name="X79b3cce14ecf864572d579db8da0d9c9a44d81b"/>
      <w:bookmarkStart w:id="11" w:name="_Toc243921740"/>
      <w:bookmarkEnd w:id="8"/>
      <w:r w:rsidRPr="00A215E8">
        <w:rPr>
          <w:rFonts w:ascii="Times New Roman" w:hAnsi="Times New Roman"/>
          <w:lang w:val="es-ES"/>
        </w:rPr>
        <w:t>Matriz de Correspondencia de Tipologías en Tres Capas</w:t>
      </w:r>
      <w:bookmarkEnd w:id="11"/>
    </w:p>
    <w:p w14:paraId="2C38583F" w14:textId="77777777" w:rsidR="00BC0439" w:rsidRPr="00A215E8" w:rsidRDefault="00000000">
      <w:pPr>
        <w:pStyle w:val="FirstParagraph"/>
        <w:jc w:val="both"/>
        <w:rPr>
          <w:lang w:val="es-ES"/>
        </w:rPr>
      </w:pPr>
      <w:r w:rsidRPr="00A215E8">
        <w:rPr>
          <w:lang w:val="es-ES"/>
        </w:rPr>
        <w:t>La Guía GIZ/MIT exige que todo espacio público cuente con una clasificación simultánea bajo tres dimensiones analíticas complementarias.</w:t>
      </w:r>
    </w:p>
    <w:p w14:paraId="089E255C" w14:textId="77777777" w:rsidR="00BC0439" w:rsidRPr="00A215E8" w:rsidRDefault="00000000" w:rsidP="00DF62EB">
      <w:pPr>
        <w:ind w:firstLine="0"/>
        <w:jc w:val="both"/>
        <w:rPr>
          <w:lang w:val="es-ES"/>
        </w:rPr>
      </w:pPr>
      <w:r w:rsidRPr="00A215E8">
        <w:rPr>
          <w:rFonts w:cs="Times New Roman"/>
          <w:b/>
          <w:bCs/>
          <w:lang w:val="es-ES"/>
        </w:rPr>
        <w:t>Tabla 3</w:t>
      </w:r>
    </w:p>
    <w:p w14:paraId="360BDDF0" w14:textId="77777777" w:rsidR="00BC0439" w:rsidRPr="00A215E8" w:rsidRDefault="00000000" w:rsidP="00DF62EB">
      <w:pPr>
        <w:ind w:firstLine="0"/>
        <w:jc w:val="both"/>
        <w:rPr>
          <w:lang w:val="es-ES"/>
        </w:rPr>
      </w:pPr>
      <w:r w:rsidRPr="00A215E8">
        <w:rPr>
          <w:rFonts w:cs="Times New Roman"/>
          <w:i/>
          <w:iCs/>
          <w:lang w:val="es-ES"/>
        </w:rPr>
        <w:t>Matriz de correspondencia de tipologías en tres dimensiones</w:t>
      </w:r>
    </w:p>
    <w:tbl>
      <w:tblPr>
        <w:tblStyle w:val="Table"/>
        <w:tblW w:w="5000" w:type="pct"/>
        <w:tblBorders>
          <w:top w:val="single" w:sz="8" w:space="0" w:color="000000"/>
          <w:bottom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26"/>
        <w:gridCol w:w="3026"/>
        <w:gridCol w:w="3026"/>
      </w:tblGrid>
      <w:tr w:rsidR="00BC0439" w:rsidRPr="00A215E8" w14:paraId="48B5EE43" w14:textId="77777777" w:rsidTr="00BC0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E1DC7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Dimensión de Análisis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909BF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Pregunta Orientadora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7D5E7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b/>
                <w:sz w:val="20"/>
                <w:lang w:val="es-ES"/>
              </w:rPr>
              <w:t>Categorización Técnica y Normativa del Proyecto</w:t>
            </w:r>
          </w:p>
        </w:tc>
      </w:tr>
      <w:tr w:rsidR="00BC0439" w:rsidRPr="00A215E8" w14:paraId="3E91C5FC" w14:textId="77777777" w:rsidTr="00BC0439"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25709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1. Dimensión Normativa (PUGS / LOOTUS)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1ADD0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i/>
                <w:iCs/>
                <w:sz w:val="20"/>
                <w:lang w:val="es-ES"/>
              </w:rPr>
              <w:t>¿Qué es legalmente este espacio y quién lo gestiona?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5F195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sz w:val="20"/>
                <w:lang w:val="es-ES"/>
              </w:rPr>
              <w:t>Sistemas Públicos de Soporte: Vía pública municipal terciaria, margen de protección hídrica y área de cesión.</w:t>
            </w:r>
          </w:p>
        </w:tc>
      </w:tr>
      <w:tr w:rsidR="00BC0439" w:rsidRPr="00A215E8" w14:paraId="40E36669" w14:textId="77777777" w:rsidTr="00BC0439"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51AC0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2. Dimensión Estratégica (PEEP)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03F85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i/>
                <w:iCs/>
                <w:sz w:val="20"/>
                <w:lang w:val="es-ES"/>
              </w:rPr>
              <w:t>¿Para qué propósito prioritario se interviene y qué brecha resuelve?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1B041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sz w:val="20"/>
                <w:lang w:val="es-ES"/>
              </w:rPr>
              <w:t>Conector de Proximidad y Amortiguamiento Ambiental: Movilidad activa, equidad periférica y resiliencia climática.</w:t>
            </w:r>
          </w:p>
        </w:tc>
      </w:tr>
      <w:tr w:rsidR="00BC0439" w:rsidRPr="00A215E8" w14:paraId="43028EAD" w14:textId="77777777" w:rsidTr="00BC0439"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C97D8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3. Dimensión Morfológica - Funcional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A212C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i/>
                <w:iCs/>
                <w:sz w:val="20"/>
                <w:lang w:val="es-ES"/>
              </w:rPr>
              <w:t>¿Cómo se configura físicamente y qué estándar garantiza?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75772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sz w:val="20"/>
                <w:lang w:val="es-ES"/>
              </w:rPr>
              <w:t xml:space="preserve">Calle Completa 8-80 y Corredor Verde-Azul: Aceras accesibles continuas, cunetas verdes SUDS y </w:t>
            </w:r>
            <w:r w:rsidRPr="00A215E8">
              <w:rPr>
                <w:sz w:val="20"/>
                <w:lang w:val="es-ES"/>
              </w:rPr>
              <w:lastRenderedPageBreak/>
              <w:t>pavimento permeable.</w:t>
            </w:r>
          </w:p>
        </w:tc>
      </w:tr>
    </w:tbl>
    <w:p w14:paraId="542849A7" w14:textId="77777777" w:rsidR="00BC0439" w:rsidRPr="00A215E8" w:rsidRDefault="00000000">
      <w:pPr>
        <w:pStyle w:val="Textoindependiente"/>
        <w:jc w:val="both"/>
        <w:rPr>
          <w:lang w:val="es-ES"/>
        </w:rPr>
      </w:pPr>
      <w:r w:rsidRPr="00A215E8">
        <w:rPr>
          <w:i/>
          <w:iCs/>
          <w:lang w:val="es-ES"/>
        </w:rPr>
        <w:lastRenderedPageBreak/>
        <w:t>Nota.</w:t>
      </w:r>
      <w:r w:rsidRPr="00A215E8">
        <w:rPr>
          <w:lang w:val="es-ES"/>
        </w:rPr>
        <w:t xml:space="preserve"> Clasificación reglamentaria del marco habilitante nacional de espacio público (Sección 5.3, MIT &amp; GIZ, 2025).</w:t>
      </w:r>
    </w:p>
    <w:p w14:paraId="289E7E76" w14:textId="77777777" w:rsidR="00BC0439" w:rsidRPr="00A215E8" w:rsidRDefault="00000000">
      <w:pPr>
        <w:pStyle w:val="Ttulo1"/>
        <w:rPr>
          <w:lang w:val="es-ES"/>
        </w:rPr>
      </w:pPr>
      <w:bookmarkStart w:id="12" w:name="X5813c8d95a66d6e305ae1ead87ab0789bd34607"/>
      <w:bookmarkStart w:id="13" w:name="_Toc243921741"/>
      <w:bookmarkEnd w:id="2"/>
      <w:bookmarkEnd w:id="10"/>
      <w:r w:rsidRPr="00A215E8">
        <w:rPr>
          <w:rFonts w:ascii="Times New Roman" w:hAnsi="Times New Roman"/>
          <w:lang w:val="es-ES"/>
        </w:rPr>
        <w:t>Alineación con el Marco Habilitante y los Seis Enfoques del Paradigma</w:t>
      </w:r>
      <w:bookmarkEnd w:id="13"/>
    </w:p>
    <w:p w14:paraId="636632D5" w14:textId="77777777" w:rsidR="00BC0439" w:rsidRPr="00A215E8" w:rsidRDefault="00000000">
      <w:pPr>
        <w:pStyle w:val="Ttulo2"/>
        <w:rPr>
          <w:lang w:val="es-ES"/>
        </w:rPr>
      </w:pPr>
      <w:bookmarkStart w:id="14" w:name="X1e88dc97e424cdbcb8d7917888980d7a82f667a"/>
      <w:bookmarkStart w:id="15" w:name="_Toc243921742"/>
      <w:r w:rsidRPr="00A215E8">
        <w:rPr>
          <w:rFonts w:ascii="Times New Roman" w:hAnsi="Times New Roman"/>
          <w:lang w:val="es-ES"/>
        </w:rPr>
        <w:t>Enfoque Articulador: Gobernanza Democrática y Financiamiento por Ciclo de Vida</w:t>
      </w:r>
      <w:bookmarkEnd w:id="15"/>
    </w:p>
    <w:p w14:paraId="62B8F788" w14:textId="77777777" w:rsidR="00BC0439" w:rsidRPr="00A215E8" w:rsidRDefault="00000000">
      <w:pPr>
        <w:pStyle w:val="FirstParagraph"/>
        <w:jc w:val="both"/>
        <w:rPr>
          <w:lang w:val="es-ES"/>
        </w:rPr>
      </w:pPr>
      <w:r w:rsidRPr="00A215E8">
        <w:rPr>
          <w:lang w:val="es-ES"/>
        </w:rPr>
        <w:t>El espacio público se concibe como un proceso dinámico de gestión social y corresponsabilidad comunitaria:</w:t>
      </w:r>
    </w:p>
    <w:p w14:paraId="6CFD1AA8" w14:textId="77777777" w:rsidR="00BC0439" w:rsidRPr="00A215E8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A215E8">
        <w:rPr>
          <w:b/>
          <w:bCs/>
          <w:lang w:val="es-ES"/>
        </w:rPr>
        <w:t>Gestión Democrática del Conflicto:</w:t>
      </w:r>
      <w:r w:rsidRPr="00A215E8">
        <w:rPr>
          <w:lang w:val="es-ES"/>
        </w:rPr>
        <w:t xml:space="preserve"> </w:t>
      </w:r>
      <w:r w:rsidRPr="00A215E8">
        <w:rPr>
          <w:rStyle w:val="VerbatimChar"/>
          <w:lang w:val="es-ES"/>
        </w:rPr>
        <w:t>[Completar: Protocolo de mediación y acuerdos de uso para regular ventas locales, accesos vehiculares de residentes y prioridad peatonal.]</w:t>
      </w:r>
    </w:p>
    <w:p w14:paraId="44F4A1B5" w14:textId="77777777" w:rsidR="00BC0439" w:rsidRPr="00A215E8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A215E8">
        <w:rPr>
          <w:b/>
          <w:bCs/>
          <w:lang w:val="es-ES"/>
        </w:rPr>
        <w:t>Arquitectura de Gobernanza Institucional:</w:t>
      </w:r>
      <w:r w:rsidRPr="00A215E8">
        <w:rPr>
          <w:lang w:val="es-ES"/>
        </w:rPr>
        <w:t xml:space="preserve"> </w:t>
      </w:r>
      <w:r w:rsidRPr="00A215E8">
        <w:rPr>
          <w:rStyle w:val="VerbatimChar"/>
          <w:lang w:val="es-ES"/>
        </w:rPr>
        <w:t>[Completar: Coordinación formal entre el GAD Municipal de Loja, la asistencia técnica de la Universidad Nacional de Loja y la Directiva Barrial.]</w:t>
      </w:r>
    </w:p>
    <w:p w14:paraId="77EC6E33" w14:textId="77777777" w:rsidR="00BC0439" w:rsidRPr="00A215E8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A215E8">
        <w:rPr>
          <w:b/>
          <w:bCs/>
          <w:lang w:val="es-ES"/>
        </w:rPr>
        <w:t>Sostenibilidad Financiera por Ciclo de Vida (CAPEX + OPEX):</w:t>
      </w:r>
      <w:r w:rsidRPr="00A215E8">
        <w:rPr>
          <w:lang w:val="es-ES"/>
        </w:rPr>
        <w:t xml:space="preserve"> </w:t>
      </w:r>
      <w:r w:rsidRPr="00A215E8">
        <w:rPr>
          <w:rStyle w:val="VerbatimChar"/>
          <w:lang w:val="es-ES"/>
        </w:rPr>
        <w:t>[Completar: Declaración de viabilidad donde la ejecución de la obra civil queda supeditada a la reserva presupuestaria anual de operación y mantenimiento preventivo.]</w:t>
      </w:r>
    </w:p>
    <w:p w14:paraId="444C8560" w14:textId="77777777" w:rsidR="00BC0439" w:rsidRPr="00A215E8" w:rsidRDefault="00000000">
      <w:pPr>
        <w:pStyle w:val="Ttulo2"/>
        <w:rPr>
          <w:lang w:val="es-ES"/>
        </w:rPr>
      </w:pPr>
      <w:bookmarkStart w:id="16" w:name="enfoques-transversales"/>
      <w:bookmarkStart w:id="17" w:name="_Toc243921743"/>
      <w:bookmarkEnd w:id="14"/>
      <w:r w:rsidRPr="00A215E8">
        <w:rPr>
          <w:rFonts w:ascii="Times New Roman" w:hAnsi="Times New Roman"/>
          <w:lang w:val="es-ES"/>
        </w:rPr>
        <w:t>Enfoques Transversales</w:t>
      </w:r>
      <w:bookmarkEnd w:id="17"/>
    </w:p>
    <w:p w14:paraId="46A58E9D" w14:textId="77777777" w:rsidR="00BC0439" w:rsidRPr="00A215E8" w:rsidRDefault="00000000">
      <w:pPr>
        <w:pStyle w:val="Ttulo3"/>
        <w:rPr>
          <w:lang w:val="es-ES"/>
        </w:rPr>
      </w:pPr>
      <w:bookmarkStart w:id="18" w:name="X3bb0b391c1c631db8cd0c03c11d88bd4b95d93d"/>
      <w:bookmarkStart w:id="19" w:name="_Toc243921744"/>
      <w:r w:rsidRPr="00A215E8">
        <w:rPr>
          <w:lang w:val="es-ES"/>
        </w:rPr>
        <w:t>Equidad, Inclusión y Enfoque de Cuidados (Criterio 8-80)</w:t>
      </w:r>
      <w:bookmarkEnd w:id="19"/>
    </w:p>
    <w:p w14:paraId="585CF599" w14:textId="77777777" w:rsidR="00BC0439" w:rsidRPr="00A215E8" w:rsidRDefault="00000000">
      <w:pPr>
        <w:pStyle w:val="FirstParagraph"/>
        <w:jc w:val="both"/>
        <w:rPr>
          <w:lang w:val="es-ES"/>
        </w:rPr>
      </w:pPr>
      <w:r w:rsidRPr="00A215E8">
        <w:rPr>
          <w:lang w:val="es-ES"/>
        </w:rPr>
        <w:t>El diseño garantiza la autonomía de los grupos prioritarios:</w:t>
      </w:r>
    </w:p>
    <w:p w14:paraId="0146E340" w14:textId="77777777" w:rsidR="00BC0439" w:rsidRPr="00A215E8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A215E8">
        <w:rPr>
          <w:b/>
          <w:bCs/>
          <w:lang w:val="es-ES"/>
        </w:rPr>
        <w:t>Criterio 8-80 y Accesibilidad Universal:</w:t>
      </w:r>
      <w:r w:rsidRPr="00A215E8">
        <w:rPr>
          <w:lang w:val="es-ES"/>
        </w:rPr>
        <w:t xml:space="preserve"> </w:t>
      </w:r>
      <w:r w:rsidRPr="00A215E8">
        <w:rPr>
          <w:rStyle w:val="VerbatimChar"/>
          <w:lang w:val="es-ES"/>
        </w:rPr>
        <w:t>[Completar: Aceras con ancho libre efectivo superior a 1.80 m, pendientes controladas (&lt;8%), vados peatonales a nivel y guías podotáctiles.]</w:t>
      </w:r>
    </w:p>
    <w:p w14:paraId="1788BA9C" w14:textId="77777777" w:rsidR="00BC0439" w:rsidRPr="00A215E8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A215E8">
        <w:rPr>
          <w:b/>
          <w:bCs/>
          <w:lang w:val="es-ES"/>
        </w:rPr>
        <w:t>Red de Cuidados Cotidianos:</w:t>
      </w:r>
      <w:r w:rsidRPr="00A215E8">
        <w:rPr>
          <w:lang w:val="es-ES"/>
        </w:rPr>
        <w:t xml:space="preserve"> </w:t>
      </w:r>
      <w:r w:rsidRPr="00A215E8">
        <w:rPr>
          <w:rStyle w:val="VerbatimChar"/>
          <w:lang w:val="es-ES"/>
        </w:rPr>
        <w:t>[Completar: Recorridos seguros y continuos que conectan con escuelas, guarderías, áreas lúdicas y paradas de bus.]</w:t>
      </w:r>
    </w:p>
    <w:p w14:paraId="736BBA87" w14:textId="77777777" w:rsidR="00BC0439" w:rsidRPr="00A215E8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A215E8">
        <w:rPr>
          <w:b/>
          <w:bCs/>
          <w:lang w:val="es-ES"/>
        </w:rPr>
        <w:lastRenderedPageBreak/>
        <w:t>Seguridad Ciudadana Integral:</w:t>
      </w:r>
      <w:r w:rsidRPr="00A215E8">
        <w:rPr>
          <w:lang w:val="es-ES"/>
        </w:rPr>
        <w:t xml:space="preserve"> </w:t>
      </w:r>
      <w:r w:rsidRPr="00A215E8">
        <w:rPr>
          <w:rStyle w:val="VerbatimChar"/>
          <w:lang w:val="es-ES"/>
        </w:rPr>
        <w:t>[Completar: Alumbrado peatonal uniforme, frentes activos, visibilidad visual directa y erradicación de puntos ciegos.]</w:t>
      </w:r>
    </w:p>
    <w:p w14:paraId="06DFB9CE" w14:textId="77777777" w:rsidR="00BC0439" w:rsidRPr="00A215E8" w:rsidRDefault="00000000">
      <w:pPr>
        <w:pStyle w:val="Ttulo3"/>
        <w:rPr>
          <w:lang w:val="es-ES"/>
        </w:rPr>
      </w:pPr>
      <w:bookmarkStart w:id="20" w:name="X273bf725da5ee796909dfff830891e2d3a79ddf"/>
      <w:bookmarkStart w:id="21" w:name="_Toc243921745"/>
      <w:bookmarkEnd w:id="18"/>
      <w:r w:rsidRPr="00A215E8">
        <w:rPr>
          <w:lang w:val="es-ES"/>
        </w:rPr>
        <w:t>Economía Urbana y Vitalidad Económica Cotidiana</w:t>
      </w:r>
      <w:bookmarkEnd w:id="21"/>
    </w:p>
    <w:p w14:paraId="4FE7CD28" w14:textId="77777777" w:rsidR="00BC0439" w:rsidRPr="00A215E8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A215E8">
        <w:rPr>
          <w:b/>
          <w:bCs/>
          <w:lang w:val="es-ES"/>
        </w:rPr>
        <w:t>Espacio para el Trabajo Digno:</w:t>
      </w:r>
      <w:r w:rsidRPr="00A215E8">
        <w:rPr>
          <w:lang w:val="es-ES"/>
        </w:rPr>
        <w:t xml:space="preserve"> </w:t>
      </w:r>
      <w:r w:rsidRPr="00A215E8">
        <w:rPr>
          <w:rStyle w:val="VerbatimChar"/>
          <w:lang w:val="es-ES"/>
        </w:rPr>
        <w:t>[Completar: Ordenamiento de ferias vecinales y actividades de subsistencia en zonas de ensanche peatonal sin obstaculizar la circulación.]</w:t>
      </w:r>
    </w:p>
    <w:p w14:paraId="0AB64FA7" w14:textId="77777777" w:rsidR="00BC0439" w:rsidRPr="00A215E8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A215E8">
        <w:rPr>
          <w:b/>
          <w:bCs/>
          <w:lang w:val="es-ES"/>
        </w:rPr>
        <w:t>Protección contra la Expulsión:</w:t>
      </w:r>
      <w:r w:rsidRPr="00A215E8">
        <w:rPr>
          <w:lang w:val="es-ES"/>
        </w:rPr>
        <w:t xml:space="preserve"> </w:t>
      </w:r>
      <w:r w:rsidRPr="00A215E8">
        <w:rPr>
          <w:rStyle w:val="VerbatimChar"/>
          <w:lang w:val="es-ES"/>
        </w:rPr>
        <w:t>[Completar: Medidas para resguardar la permanencia de los habitantes tradicionales ante dinámicas de valorización del suelo.]</w:t>
      </w:r>
    </w:p>
    <w:p w14:paraId="0F1A5E29" w14:textId="77777777" w:rsidR="00BC0439" w:rsidRDefault="00000000">
      <w:pPr>
        <w:pStyle w:val="Ttulo3"/>
      </w:pPr>
      <w:bookmarkStart w:id="22" w:name="salud-bienestar-y-confort-ambiental"/>
      <w:bookmarkStart w:id="23" w:name="_Toc243921746"/>
      <w:bookmarkEnd w:id="20"/>
      <w:r>
        <w:t>Salud, Bienestar y Confort Ambiental</w:t>
      </w:r>
      <w:bookmarkEnd w:id="23"/>
    </w:p>
    <w:p w14:paraId="019B0FFC" w14:textId="77777777" w:rsidR="00BC0439" w:rsidRPr="00A215E8" w:rsidRDefault="00000000">
      <w:pPr>
        <w:pStyle w:val="Compact"/>
        <w:numPr>
          <w:ilvl w:val="0"/>
          <w:numId w:val="6"/>
        </w:numPr>
        <w:rPr>
          <w:lang w:val="es-ES"/>
        </w:rPr>
      </w:pPr>
      <w:r w:rsidRPr="00A215E8">
        <w:rPr>
          <w:b/>
          <w:bCs/>
          <w:lang w:val="es-ES"/>
        </w:rPr>
        <w:t>Promoción de la Actividad Física:</w:t>
      </w:r>
      <w:r w:rsidRPr="00A215E8">
        <w:rPr>
          <w:lang w:val="es-ES"/>
        </w:rPr>
        <w:t xml:space="preserve"> </w:t>
      </w:r>
      <w:r w:rsidRPr="00A215E8">
        <w:rPr>
          <w:rStyle w:val="VerbatimChar"/>
          <w:lang w:val="es-ES"/>
        </w:rPr>
        <w:t>[Completar: Trazados amigables para caminata y bicicleta con pacificación vehicular de calzada (máximo 30 km/h).]</w:t>
      </w:r>
    </w:p>
    <w:p w14:paraId="34C0D5CB" w14:textId="77777777" w:rsidR="00BC0439" w:rsidRPr="00A215E8" w:rsidRDefault="00000000">
      <w:pPr>
        <w:pStyle w:val="Compact"/>
        <w:numPr>
          <w:ilvl w:val="0"/>
          <w:numId w:val="6"/>
        </w:numPr>
        <w:rPr>
          <w:lang w:val="es-ES"/>
        </w:rPr>
      </w:pPr>
      <w:r w:rsidRPr="00A215E8">
        <w:rPr>
          <w:b/>
          <w:bCs/>
          <w:lang w:val="es-ES"/>
        </w:rPr>
        <w:t>Confort Térmico y Sombreamiento:</w:t>
      </w:r>
      <w:r w:rsidRPr="00A215E8">
        <w:rPr>
          <w:lang w:val="es-ES"/>
        </w:rPr>
        <w:t xml:space="preserve"> </w:t>
      </w:r>
      <w:r w:rsidRPr="00A215E8">
        <w:rPr>
          <w:rStyle w:val="VerbatimChar"/>
          <w:lang w:val="es-ES"/>
        </w:rPr>
        <w:t>[Completar: Arbolado nativo de copa densa y microclimas agradables en áreas de descanso y paradas de transporte.]</w:t>
      </w:r>
    </w:p>
    <w:p w14:paraId="64D69CC5" w14:textId="77777777" w:rsidR="00BC0439" w:rsidRPr="00A215E8" w:rsidRDefault="00000000">
      <w:pPr>
        <w:pStyle w:val="Ttulo2"/>
        <w:rPr>
          <w:lang w:val="es-ES"/>
        </w:rPr>
      </w:pPr>
      <w:bookmarkStart w:id="24" w:name="enfoques-integradores"/>
      <w:bookmarkStart w:id="25" w:name="_Toc243921747"/>
      <w:bookmarkEnd w:id="16"/>
      <w:bookmarkEnd w:id="22"/>
      <w:r w:rsidRPr="00A215E8">
        <w:rPr>
          <w:rFonts w:ascii="Times New Roman" w:hAnsi="Times New Roman"/>
          <w:lang w:val="es-ES"/>
        </w:rPr>
        <w:t>Enfoques Integradores</w:t>
      </w:r>
      <w:bookmarkEnd w:id="25"/>
    </w:p>
    <w:p w14:paraId="1849169C" w14:textId="77777777" w:rsidR="00BC0439" w:rsidRPr="00A215E8" w:rsidRDefault="00000000">
      <w:pPr>
        <w:pStyle w:val="Ttulo3"/>
        <w:rPr>
          <w:lang w:val="es-ES"/>
        </w:rPr>
      </w:pPr>
      <w:bookmarkStart w:id="26" w:name="Xa7bec0a4dc2c63291836bfdbb1ae0a65deb1d39"/>
      <w:bookmarkStart w:id="27" w:name="_Toc243921748"/>
      <w:r w:rsidRPr="00A215E8">
        <w:rPr>
          <w:lang w:val="es-ES"/>
        </w:rPr>
        <w:t>Urbanismo de Proximidad (Ciudad de 10-15 Minutos)</w:t>
      </w:r>
      <w:bookmarkEnd w:id="27"/>
    </w:p>
    <w:p w14:paraId="46F52328" w14:textId="77777777" w:rsidR="00BC0439" w:rsidRPr="00A215E8" w:rsidRDefault="00000000">
      <w:pPr>
        <w:pStyle w:val="Compact"/>
        <w:numPr>
          <w:ilvl w:val="0"/>
          <w:numId w:val="7"/>
        </w:numPr>
        <w:rPr>
          <w:lang w:val="es-ES"/>
        </w:rPr>
      </w:pPr>
      <w:r w:rsidRPr="00A215E8">
        <w:rPr>
          <w:b/>
          <w:bCs/>
          <w:lang w:val="es-ES"/>
        </w:rPr>
        <w:t>Caminabilidad Real y Cobertura de Servicios:</w:t>
      </w:r>
      <w:r w:rsidRPr="00A215E8">
        <w:rPr>
          <w:lang w:val="es-ES"/>
        </w:rPr>
        <w:t xml:space="preserve"> </w:t>
      </w:r>
      <w:r w:rsidRPr="00A215E8">
        <w:rPr>
          <w:rStyle w:val="VerbatimChar"/>
          <w:lang w:val="es-ES"/>
        </w:rPr>
        <w:t>[Completar: Isócronas peatonales reales hacia equipamientos de salud, educación y abastecimiento.]</w:t>
      </w:r>
    </w:p>
    <w:p w14:paraId="4552901F" w14:textId="77777777" w:rsidR="00BC0439" w:rsidRPr="00A215E8" w:rsidRDefault="00000000">
      <w:pPr>
        <w:pStyle w:val="Compact"/>
        <w:numPr>
          <w:ilvl w:val="0"/>
          <w:numId w:val="7"/>
        </w:numPr>
        <w:rPr>
          <w:lang w:val="es-ES"/>
        </w:rPr>
      </w:pPr>
      <w:r w:rsidRPr="00A215E8">
        <w:rPr>
          <w:b/>
          <w:bCs/>
          <w:lang w:val="es-ES"/>
        </w:rPr>
        <w:t>Intermodalidad:</w:t>
      </w:r>
      <w:r w:rsidRPr="00A215E8">
        <w:rPr>
          <w:lang w:val="es-ES"/>
        </w:rPr>
        <w:t xml:space="preserve"> </w:t>
      </w:r>
      <w:r w:rsidRPr="00A215E8">
        <w:rPr>
          <w:rStyle w:val="VerbatimChar"/>
          <w:lang w:val="es-ES"/>
        </w:rPr>
        <w:t>[Completar: Articulación fluida entre modos activos y líneas de transporte público colectivo.]</w:t>
      </w:r>
    </w:p>
    <w:p w14:paraId="0B6FBFE5" w14:textId="77777777" w:rsidR="00BC0439" w:rsidRPr="00A215E8" w:rsidRDefault="00000000">
      <w:pPr>
        <w:pStyle w:val="Ttulo3"/>
        <w:rPr>
          <w:lang w:val="es-ES"/>
        </w:rPr>
      </w:pPr>
      <w:bookmarkStart w:id="28" w:name="X9ec6e4ee27f7af211cce74625cd30f5e6df8c42"/>
      <w:bookmarkStart w:id="29" w:name="_Toc243921749"/>
      <w:bookmarkEnd w:id="26"/>
      <w:r w:rsidRPr="00A215E8">
        <w:rPr>
          <w:lang w:val="es-ES"/>
        </w:rPr>
        <w:t>Ecología Urbana + Ciudad Esponja y Resiliencia Hídrica</w:t>
      </w:r>
      <w:bookmarkEnd w:id="29"/>
    </w:p>
    <w:p w14:paraId="5921645E" w14:textId="77777777" w:rsidR="00BC0439" w:rsidRPr="00A215E8" w:rsidRDefault="00000000">
      <w:pPr>
        <w:pStyle w:val="Compact"/>
        <w:numPr>
          <w:ilvl w:val="0"/>
          <w:numId w:val="8"/>
        </w:numPr>
        <w:rPr>
          <w:lang w:val="es-ES"/>
        </w:rPr>
      </w:pPr>
      <w:r w:rsidRPr="00A215E8">
        <w:rPr>
          <w:b/>
          <w:bCs/>
          <w:lang w:val="es-ES"/>
        </w:rPr>
        <w:t>Soluciones basadas en la Naturaleza (SbN / SUDS):</w:t>
      </w:r>
      <w:r w:rsidRPr="00A215E8">
        <w:rPr>
          <w:lang w:val="es-ES"/>
        </w:rPr>
        <w:t xml:space="preserve"> </w:t>
      </w:r>
      <w:r w:rsidRPr="00A215E8">
        <w:rPr>
          <w:rStyle w:val="VerbatimChar"/>
          <w:lang w:val="es-ES"/>
        </w:rPr>
        <w:t>[Completar: Implementación de jardines de lluvia, alcorques biofiltrantes y zanjas de infiltración en ladera.]</w:t>
      </w:r>
    </w:p>
    <w:p w14:paraId="7114627B" w14:textId="77777777" w:rsidR="00BC0439" w:rsidRPr="00A215E8" w:rsidRDefault="00000000">
      <w:pPr>
        <w:pStyle w:val="Compact"/>
        <w:numPr>
          <w:ilvl w:val="0"/>
          <w:numId w:val="8"/>
        </w:numPr>
        <w:rPr>
          <w:lang w:val="es-ES"/>
        </w:rPr>
      </w:pPr>
      <w:r w:rsidRPr="00A215E8">
        <w:rPr>
          <w:b/>
          <w:bCs/>
          <w:lang w:val="es-ES"/>
        </w:rPr>
        <w:lastRenderedPageBreak/>
        <w:t>Suelo Permeable y Cobertura Vegetal:</w:t>
      </w:r>
      <w:r w:rsidRPr="00A215E8">
        <w:rPr>
          <w:lang w:val="es-ES"/>
        </w:rPr>
        <w:t xml:space="preserve"> </w:t>
      </w:r>
      <w:r w:rsidRPr="00A215E8">
        <w:rPr>
          <w:rStyle w:val="VerbatimChar"/>
          <w:lang w:val="es-ES"/>
        </w:rPr>
        <w:t>[Completar: Proporción de superficie permeable recuperada y estabilización de taludes con especies nativas adaptadas.]</w:t>
      </w:r>
    </w:p>
    <w:p w14:paraId="3612FDF3" w14:textId="77777777" w:rsidR="00BC0439" w:rsidRPr="00A215E8" w:rsidRDefault="00000000">
      <w:pPr>
        <w:pStyle w:val="Ttulo1"/>
        <w:rPr>
          <w:lang w:val="es-ES"/>
        </w:rPr>
      </w:pPr>
      <w:bookmarkStart w:id="30" w:name="Xe05a51bf5e610193977330c2efa6d9c64be1ca6"/>
      <w:bookmarkStart w:id="31" w:name="_Toc243921750"/>
      <w:bookmarkEnd w:id="12"/>
      <w:bookmarkEnd w:id="24"/>
      <w:bookmarkEnd w:id="28"/>
      <w:r w:rsidRPr="00A215E8">
        <w:rPr>
          <w:rFonts w:ascii="Times New Roman" w:hAnsi="Times New Roman"/>
          <w:lang w:val="es-ES"/>
        </w:rPr>
        <w:t>Expediente Técnico de Diseño (Fase 2 del Ciclo de Vida)</w:t>
      </w:r>
      <w:bookmarkEnd w:id="31"/>
    </w:p>
    <w:p w14:paraId="11A51119" w14:textId="77777777" w:rsidR="00BC0439" w:rsidRPr="00A215E8" w:rsidRDefault="00000000">
      <w:pPr>
        <w:pStyle w:val="Ttulo2"/>
        <w:rPr>
          <w:lang w:val="es-ES"/>
        </w:rPr>
      </w:pPr>
      <w:bookmarkStart w:id="32" w:name="X33a09d5a8f0c848db1e3cdf21861ecc3fc3956e"/>
      <w:bookmarkStart w:id="33" w:name="_Toc243921751"/>
      <w:r w:rsidRPr="00A215E8">
        <w:rPr>
          <w:rFonts w:ascii="Times New Roman" w:hAnsi="Times New Roman"/>
          <w:lang w:val="es-ES"/>
        </w:rPr>
        <w:t>Evaluación Multicriterio de Alternativas de Diseño (Trade-offs)</w:t>
      </w:r>
      <w:bookmarkEnd w:id="33"/>
    </w:p>
    <w:p w14:paraId="048D99F1" w14:textId="77777777" w:rsidR="00BC0439" w:rsidRPr="00A215E8" w:rsidRDefault="00000000">
      <w:pPr>
        <w:pStyle w:val="FirstParagraph"/>
        <w:jc w:val="both"/>
        <w:rPr>
          <w:lang w:val="es-ES"/>
        </w:rPr>
      </w:pPr>
      <w:r w:rsidRPr="00A215E8">
        <w:rPr>
          <w:lang w:val="es-ES"/>
        </w:rPr>
        <w:t>La Guía GIZ/MIT exige documentar la comparación técnica, social y económica de alternativas de intervención para justificar la solución seleccionada.</w:t>
      </w:r>
    </w:p>
    <w:p w14:paraId="47576C52" w14:textId="77777777" w:rsidR="00BC0439" w:rsidRPr="00A215E8" w:rsidRDefault="00000000">
      <w:pPr>
        <w:jc w:val="both"/>
        <w:rPr>
          <w:lang w:val="es-ES"/>
        </w:rPr>
      </w:pPr>
      <w:r w:rsidRPr="00A215E8">
        <w:rPr>
          <w:rFonts w:cs="Times New Roman"/>
          <w:b/>
          <w:bCs/>
          <w:lang w:val="es-ES"/>
        </w:rPr>
        <w:t>Tabla 4</w:t>
      </w:r>
    </w:p>
    <w:p w14:paraId="7FE36159" w14:textId="77777777" w:rsidR="00BC0439" w:rsidRPr="00A215E8" w:rsidRDefault="00000000">
      <w:pPr>
        <w:jc w:val="both"/>
        <w:rPr>
          <w:lang w:val="es-ES"/>
        </w:rPr>
      </w:pPr>
      <w:r w:rsidRPr="00A215E8">
        <w:rPr>
          <w:rFonts w:cs="Times New Roman"/>
          <w:i/>
          <w:iCs/>
          <w:lang w:val="es-ES"/>
        </w:rPr>
        <w:t>Evaluación multicriterio y trade-offs entre alternativas de diseño</w:t>
      </w:r>
    </w:p>
    <w:tbl>
      <w:tblPr>
        <w:tblStyle w:val="Table"/>
        <w:tblW w:w="5000" w:type="pct"/>
        <w:tblBorders>
          <w:top w:val="single" w:sz="8" w:space="0" w:color="000000"/>
          <w:bottom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69"/>
        <w:gridCol w:w="2269"/>
        <w:gridCol w:w="2270"/>
        <w:gridCol w:w="2270"/>
      </w:tblGrid>
      <w:tr w:rsidR="00BC0439" w:rsidRPr="00DF62EB" w14:paraId="22000C1C" w14:textId="77777777" w:rsidTr="00BC0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A922F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Criterio Metodológico / Trade-Off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702D9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Alternativa 1: Intervención Tradicional (Gris)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4F648" w14:textId="77777777" w:rsidR="00BC0439" w:rsidRPr="00A215E8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A215E8">
              <w:rPr>
                <w:b/>
                <w:sz w:val="20"/>
                <w:lang w:val="es-ES"/>
              </w:rPr>
              <w:t>Alternativa 2: Cambio de Paradigma (SbN + 8-80)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8EB84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b/>
                <w:sz w:val="20"/>
                <w:lang w:val="es-ES"/>
              </w:rPr>
              <w:t>Justificación de la Alternativa Seleccionada</w:t>
            </w:r>
          </w:p>
        </w:tc>
      </w:tr>
      <w:tr w:rsidR="00BC0439" w:rsidRPr="00DF62EB" w14:paraId="213D3BD0" w14:textId="77777777" w:rsidTr="00BC0439"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D49E3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Distribución de Sección Vial: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880C1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75% calzada vehicular; aceras residuales estrechas.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0262F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Calzada pacificada (40%), veredas amplias (35%), verde (25%).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5AA25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Prioriza movilidad activa y derechos peatonales.</w:t>
            </w:r>
          </w:p>
        </w:tc>
      </w:tr>
      <w:tr w:rsidR="00BC0439" w:rsidRPr="00DF62EB" w14:paraId="0435CF08" w14:textId="77777777" w:rsidTr="00BC0439"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C6365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Manejo Pluvial: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DE272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Sumideros y tuberías de hormigón (rápida saturación).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51791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SUDS, cunetas verdes y biofiltración in situ.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5DB96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Amortigua escorrentías y previene deslaves en ladera.</w:t>
            </w:r>
          </w:p>
        </w:tc>
      </w:tr>
      <w:tr w:rsidR="00BC0439" w:rsidRPr="00DF62EB" w14:paraId="4AB9E2EC" w14:textId="77777777" w:rsidTr="00BC0439"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4089A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Accesibilidad Universal: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AB33D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Rampas aisladas sin continuidad; bordillos altos.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B2D4F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Diseño 8-80 integral y plataforma compartida en cruces.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61D2B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Garantiza autonomía para niñez y adultos mayores.</w:t>
            </w:r>
          </w:p>
        </w:tc>
      </w:tr>
      <w:tr w:rsidR="00BC0439" w14:paraId="76B8BF30" w14:textId="77777777" w:rsidTr="00BC0439"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34B94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Inversión Inicial (CAPEX):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7506C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 USD]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5090B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 USD]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89B40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Sostenible técnica y financieramente.</w:t>
            </w:r>
          </w:p>
        </w:tc>
      </w:tr>
      <w:tr w:rsidR="00BC0439" w:rsidRPr="00DF62EB" w14:paraId="7BE62BD3" w14:textId="77777777" w:rsidTr="00BC0439"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B8595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Costo Operativo a 20 Años (OPEX):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06366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Alto por bacheo constante y desazolve de ductos.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1F15C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Moderado; mantenimiento de jardines y biofiltros.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51DD5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Menor costo del ciclo de vida total.</w:t>
            </w:r>
          </w:p>
        </w:tc>
      </w:tr>
      <w:tr w:rsidR="00BC0439" w:rsidRPr="00DF62EB" w14:paraId="4905D8FF" w14:textId="77777777" w:rsidTr="00BC0439"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C2760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Dictamen de Selección: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F731A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Descartada por perpetuar dependencia automotriz.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F957E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b/>
                <w:bCs/>
                <w:sz w:val="20"/>
                <w:lang w:val="es-ES"/>
              </w:rPr>
              <w:t>Seleccionada como Alternativa Oficial del Expediente.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6F5F1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Cumple estándares PEEP y GIZ CIS II.</w:t>
            </w:r>
          </w:p>
        </w:tc>
      </w:tr>
    </w:tbl>
    <w:p w14:paraId="00627C31" w14:textId="77777777" w:rsidR="00BC0439" w:rsidRPr="00DF62EB" w:rsidRDefault="00000000">
      <w:pPr>
        <w:pStyle w:val="Textoindependiente"/>
        <w:jc w:val="both"/>
        <w:rPr>
          <w:lang w:val="es-ES"/>
        </w:rPr>
      </w:pPr>
      <w:r w:rsidRPr="00DF62EB">
        <w:rPr>
          <w:i/>
          <w:iCs/>
          <w:lang w:val="es-ES"/>
        </w:rPr>
        <w:t>Nota.</w:t>
      </w:r>
      <w:r w:rsidRPr="00DF62EB">
        <w:rPr>
          <w:lang w:val="es-ES"/>
        </w:rPr>
        <w:t xml:space="preserve"> La comparación de alternativas es un producto obligatorio para el cierre de la Fase 2 (Diseño) según el estándar MIT &amp; GIZ (2025).</w:t>
      </w:r>
    </w:p>
    <w:p w14:paraId="5D431733" w14:textId="77777777" w:rsidR="00BC0439" w:rsidRPr="00DF62EB" w:rsidRDefault="00000000">
      <w:pPr>
        <w:pStyle w:val="Ttulo2"/>
        <w:rPr>
          <w:lang w:val="es-ES"/>
        </w:rPr>
      </w:pPr>
      <w:bookmarkStart w:id="34" w:name="Xb574bcc1f3fe8382baf7c0c7d9749508d5035ea"/>
      <w:bookmarkStart w:id="35" w:name="_Toc243921752"/>
      <w:bookmarkEnd w:id="32"/>
      <w:r w:rsidRPr="00DF62EB">
        <w:rPr>
          <w:rFonts w:ascii="Times New Roman" w:hAnsi="Times New Roman"/>
          <w:lang w:val="es-ES"/>
        </w:rPr>
        <w:lastRenderedPageBreak/>
        <w:t>Planimetría, Dimensionamiento Espacial y Secciones Tipo</w:t>
      </w:r>
      <w:bookmarkEnd w:id="35"/>
    </w:p>
    <w:p w14:paraId="71DDF098" w14:textId="77777777" w:rsidR="00BC0439" w:rsidRPr="00DF62EB" w:rsidRDefault="00000000">
      <w:pPr>
        <w:pStyle w:val="Compact"/>
        <w:numPr>
          <w:ilvl w:val="0"/>
          <w:numId w:val="9"/>
        </w:numPr>
        <w:rPr>
          <w:lang w:val="es-ES"/>
        </w:rPr>
      </w:pPr>
      <w:r w:rsidRPr="00DF62EB">
        <w:rPr>
          <w:b/>
          <w:bCs/>
          <w:lang w:val="es-ES"/>
        </w:rPr>
        <w:t>Perfil Transversal Tipo (Calle Completa 8-80):</w:t>
      </w:r>
      <w:r w:rsidRPr="00DF62EB">
        <w:rPr>
          <w:lang w:val="es-ES"/>
        </w:rPr>
        <w:t xml:space="preserve"> </w:t>
      </w:r>
      <w:r w:rsidRPr="00DF62EB">
        <w:rPr>
          <w:rStyle w:val="VerbatimChar"/>
          <w:lang w:val="es-ES"/>
        </w:rPr>
        <w:t>[Completar: Ancho total de derecho de vía (m), ancho de calzada vehicular (m), ancho de aceras peatonales libres (m) y franjas verdes SUDS.]</w:t>
      </w:r>
    </w:p>
    <w:p w14:paraId="6A63E31D" w14:textId="77777777" w:rsidR="00BC0439" w:rsidRPr="00DF62EB" w:rsidRDefault="00000000">
      <w:pPr>
        <w:pStyle w:val="Compact"/>
        <w:numPr>
          <w:ilvl w:val="0"/>
          <w:numId w:val="9"/>
        </w:numPr>
        <w:rPr>
          <w:lang w:val="es-ES"/>
        </w:rPr>
      </w:pPr>
      <w:r w:rsidRPr="00DF62EB">
        <w:rPr>
          <w:b/>
          <w:bCs/>
          <w:lang w:val="es-ES"/>
        </w:rPr>
        <w:t>Zonificación del Parque Fluvial de río Capulí:</w:t>
      </w:r>
      <w:r w:rsidRPr="00DF62EB">
        <w:rPr>
          <w:lang w:val="es-ES"/>
        </w:rPr>
        <w:t xml:space="preserve"> </w:t>
      </w:r>
      <w:r w:rsidRPr="00DF62EB">
        <w:rPr>
          <w:rStyle w:val="VerbatimChar"/>
          <w:lang w:val="es-ES"/>
        </w:rPr>
        <w:t>[Completar: Superficie de protección hídrica ribereña (m²), áreas lúdicas y deportivas (m²), y senderos permeables (m²).]</w:t>
      </w:r>
    </w:p>
    <w:p w14:paraId="150CBEF5" w14:textId="77777777" w:rsidR="00BC0439" w:rsidRPr="00DF62EB" w:rsidRDefault="00000000">
      <w:pPr>
        <w:pStyle w:val="Ttulo2"/>
        <w:rPr>
          <w:lang w:val="es-ES"/>
        </w:rPr>
      </w:pPr>
      <w:bookmarkStart w:id="36" w:name="Xa0fc9d5e92bb522d4df5940483baf7b5e429132"/>
      <w:bookmarkStart w:id="37" w:name="_Toc243921753"/>
      <w:bookmarkEnd w:id="34"/>
      <w:r w:rsidRPr="00DF62EB">
        <w:rPr>
          <w:rFonts w:ascii="Times New Roman" w:hAnsi="Times New Roman"/>
          <w:lang w:val="es-ES"/>
        </w:rPr>
        <w:t>Reglas Espaciales de Convivencia y Gestión de Conflictos</w:t>
      </w:r>
      <w:bookmarkEnd w:id="37"/>
    </w:p>
    <w:p w14:paraId="2506744E" w14:textId="77777777" w:rsidR="00BC0439" w:rsidRPr="00DF62EB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DF62EB">
        <w:rPr>
          <w:b/>
          <w:bCs/>
          <w:lang w:val="es-ES"/>
        </w:rPr>
        <w:t>Criterios Espaciales de No Exclusión:</w:t>
      </w:r>
      <w:r w:rsidRPr="00DF62EB">
        <w:rPr>
          <w:lang w:val="es-ES"/>
        </w:rPr>
        <w:t xml:space="preserve"> </w:t>
      </w:r>
      <w:r w:rsidRPr="00DF62EB">
        <w:rPr>
          <w:rStyle w:val="VerbatimChar"/>
          <w:lang w:val="es-ES"/>
        </w:rPr>
        <w:t>[Completar: Espacios públicos abiertos sin barreras físicas privatizadoras, accesibles las 24 horas.]</w:t>
      </w:r>
    </w:p>
    <w:p w14:paraId="03A889C4" w14:textId="77777777" w:rsidR="00BC0439" w:rsidRPr="00DF62EB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DF62EB">
        <w:rPr>
          <w:b/>
          <w:bCs/>
          <w:lang w:val="es-ES"/>
        </w:rPr>
        <w:t>Plan de Convivencia y Compatibilidad de Usos:</w:t>
      </w:r>
      <w:r w:rsidRPr="00DF62EB">
        <w:rPr>
          <w:lang w:val="es-ES"/>
        </w:rPr>
        <w:t xml:space="preserve"> </w:t>
      </w:r>
      <w:r w:rsidRPr="00DF62EB">
        <w:rPr>
          <w:rStyle w:val="VerbatimChar"/>
          <w:lang w:val="es-ES"/>
        </w:rPr>
        <w:t>[Completar: Horarios de abastecimiento comercial, zonas para recreación canina y protocolos de coexistencia peatón-bicicleta.]</w:t>
      </w:r>
    </w:p>
    <w:p w14:paraId="73B9C4DE" w14:textId="77777777" w:rsidR="00BC0439" w:rsidRPr="00DF62EB" w:rsidRDefault="00000000">
      <w:pPr>
        <w:pStyle w:val="Ttulo1"/>
        <w:rPr>
          <w:lang w:val="es-ES"/>
        </w:rPr>
      </w:pPr>
      <w:bookmarkStart w:id="38" w:name="X13d581255bd0155708afee24819003bc616d8f4"/>
      <w:bookmarkStart w:id="39" w:name="_Toc243921754"/>
      <w:bookmarkEnd w:id="30"/>
      <w:bookmarkEnd w:id="36"/>
      <w:r w:rsidRPr="00DF62EB">
        <w:rPr>
          <w:rFonts w:ascii="Times New Roman" w:hAnsi="Times New Roman"/>
          <w:lang w:val="es-ES"/>
        </w:rPr>
        <w:t>Modelo de Implementación, Puesta en Servicio y Gestión (Fases 3, 4 y 5)</w:t>
      </w:r>
      <w:bookmarkEnd w:id="39"/>
    </w:p>
    <w:p w14:paraId="38C28058" w14:textId="77777777" w:rsidR="00BC0439" w:rsidRPr="00DF62EB" w:rsidRDefault="00000000">
      <w:pPr>
        <w:pStyle w:val="Ttulo2"/>
        <w:rPr>
          <w:lang w:val="es-ES"/>
        </w:rPr>
      </w:pPr>
      <w:bookmarkStart w:id="40" w:name="Xc8df9025091b5b59f63f90abf1a8c41b0b50bcf"/>
      <w:bookmarkStart w:id="41" w:name="_Toc243921755"/>
      <w:r w:rsidRPr="00DF62EB">
        <w:rPr>
          <w:rFonts w:ascii="Times New Roman" w:hAnsi="Times New Roman"/>
          <w:lang w:val="es-ES"/>
        </w:rPr>
        <w:t>Fase 3 (Implementación): Plan de Manejo de Obra y Mitigación</w:t>
      </w:r>
      <w:bookmarkEnd w:id="41"/>
    </w:p>
    <w:p w14:paraId="18C28803" w14:textId="77777777" w:rsidR="00BC0439" w:rsidRPr="00DF62EB" w:rsidRDefault="00000000">
      <w:pPr>
        <w:pStyle w:val="Compact"/>
        <w:numPr>
          <w:ilvl w:val="0"/>
          <w:numId w:val="11"/>
        </w:numPr>
        <w:rPr>
          <w:lang w:val="es-ES"/>
        </w:rPr>
      </w:pPr>
      <w:r w:rsidRPr="00DF62EB">
        <w:rPr>
          <w:b/>
          <w:bCs/>
          <w:lang w:val="es-ES"/>
        </w:rPr>
        <w:t>Itinerarios Peatonales Provisionales:</w:t>
      </w:r>
      <w:r w:rsidRPr="00DF62EB">
        <w:rPr>
          <w:lang w:val="es-ES"/>
        </w:rPr>
        <w:t xml:space="preserve"> </w:t>
      </w:r>
      <w:r w:rsidRPr="00DF62EB">
        <w:rPr>
          <w:rStyle w:val="VerbatimChar"/>
          <w:lang w:val="es-ES"/>
        </w:rPr>
        <w:t>[Completar: Dispositivos de seguridad física, pasarelas accesibles y señalización informativa temporal durante la construcción.]</w:t>
      </w:r>
    </w:p>
    <w:p w14:paraId="79E89EF9" w14:textId="77777777" w:rsidR="00BC0439" w:rsidRPr="00DF62EB" w:rsidRDefault="00000000">
      <w:pPr>
        <w:pStyle w:val="Compact"/>
        <w:numPr>
          <w:ilvl w:val="0"/>
          <w:numId w:val="11"/>
        </w:numPr>
        <w:rPr>
          <w:lang w:val="es-ES"/>
        </w:rPr>
      </w:pPr>
      <w:r w:rsidRPr="00DF62EB">
        <w:rPr>
          <w:b/>
          <w:bCs/>
          <w:lang w:val="es-ES"/>
        </w:rPr>
        <w:t>Veeduría Ciudadana:</w:t>
      </w:r>
      <w:r w:rsidRPr="00DF62EB">
        <w:rPr>
          <w:lang w:val="es-ES"/>
        </w:rPr>
        <w:t xml:space="preserve"> </w:t>
      </w:r>
      <w:r w:rsidRPr="00DF62EB">
        <w:rPr>
          <w:rStyle w:val="VerbatimChar"/>
          <w:lang w:val="es-ES"/>
        </w:rPr>
        <w:t>[Completar: Comisión barrial de fiscalización social y reuniones mensuales de seguimiento de avance de obra.]</w:t>
      </w:r>
    </w:p>
    <w:p w14:paraId="6C27A606" w14:textId="77777777" w:rsidR="00BC0439" w:rsidRPr="00DF62EB" w:rsidRDefault="00000000">
      <w:pPr>
        <w:pStyle w:val="Ttulo2"/>
        <w:rPr>
          <w:lang w:val="es-ES"/>
        </w:rPr>
      </w:pPr>
      <w:bookmarkStart w:id="42" w:name="Xba324750936a2d7e9dc1a99309c21d1a5ea1030"/>
      <w:bookmarkStart w:id="43" w:name="_Toc243921756"/>
      <w:bookmarkEnd w:id="40"/>
      <w:r w:rsidRPr="00DF62EB">
        <w:rPr>
          <w:rFonts w:ascii="Times New Roman" w:hAnsi="Times New Roman"/>
          <w:lang w:val="es-ES"/>
        </w:rPr>
        <w:t>Fase 4 (Puesta en Servicio): Activación Inicial y Cierre Técnico</w:t>
      </w:r>
      <w:bookmarkEnd w:id="43"/>
    </w:p>
    <w:p w14:paraId="48191FDA" w14:textId="77777777" w:rsidR="00BC0439" w:rsidRPr="00DF62EB" w:rsidRDefault="00000000">
      <w:pPr>
        <w:pStyle w:val="Compact"/>
        <w:numPr>
          <w:ilvl w:val="0"/>
          <w:numId w:val="12"/>
        </w:numPr>
        <w:rPr>
          <w:lang w:val="es-ES"/>
        </w:rPr>
      </w:pPr>
      <w:r w:rsidRPr="00DF62EB">
        <w:rPr>
          <w:b/>
          <w:bCs/>
          <w:lang w:val="es-ES"/>
        </w:rPr>
        <w:t>Verificación Previa a la Apertura:</w:t>
      </w:r>
      <w:r w:rsidRPr="00DF62EB">
        <w:rPr>
          <w:lang w:val="es-ES"/>
        </w:rPr>
        <w:t xml:space="preserve"> </w:t>
      </w:r>
      <w:r w:rsidRPr="00DF62EB">
        <w:rPr>
          <w:rStyle w:val="VerbatimChar"/>
          <w:lang w:val="es-ES"/>
        </w:rPr>
        <w:t>[Completar: Lista de chequeo: alumbrado operativo, señalética colocada, pruebas de absorción en SUDS y recepción municipal.]</w:t>
      </w:r>
    </w:p>
    <w:p w14:paraId="06E7C8CA" w14:textId="77777777" w:rsidR="00BC0439" w:rsidRPr="00DF62EB" w:rsidRDefault="00000000">
      <w:pPr>
        <w:pStyle w:val="Compact"/>
        <w:numPr>
          <w:ilvl w:val="0"/>
          <w:numId w:val="12"/>
        </w:numPr>
        <w:rPr>
          <w:lang w:val="es-ES"/>
        </w:rPr>
      </w:pPr>
      <w:r w:rsidRPr="00DF62EB">
        <w:rPr>
          <w:b/>
          <w:bCs/>
          <w:lang w:val="es-ES"/>
        </w:rPr>
        <w:t>Programa de Activación Temprana (Primeros 3 a 6 Meses):</w:t>
      </w:r>
      <w:r w:rsidRPr="00DF62EB">
        <w:rPr>
          <w:lang w:val="es-ES"/>
        </w:rPr>
        <w:t xml:space="preserve"> </w:t>
      </w:r>
      <w:r w:rsidRPr="00DF62EB">
        <w:rPr>
          <w:rStyle w:val="VerbatimChar"/>
          <w:lang w:val="es-ES"/>
        </w:rPr>
        <w:t>[Completar: Agenda de ferias comunitarias, talleres de siembra de especies nativas y campañas barriales de cuidado del espacio.]</w:t>
      </w:r>
    </w:p>
    <w:p w14:paraId="050E91A7" w14:textId="77777777" w:rsidR="00BC0439" w:rsidRPr="00DF62EB" w:rsidRDefault="00000000">
      <w:pPr>
        <w:pStyle w:val="Ttulo2"/>
        <w:rPr>
          <w:lang w:val="es-ES"/>
        </w:rPr>
      </w:pPr>
      <w:bookmarkStart w:id="44" w:name="X4dbdcbb69f7c649c35e15e74bf020b15f9453b4"/>
      <w:bookmarkStart w:id="45" w:name="_Toc243921757"/>
      <w:bookmarkEnd w:id="42"/>
      <w:r w:rsidRPr="00DF62EB">
        <w:rPr>
          <w:rFonts w:ascii="Times New Roman" w:hAnsi="Times New Roman"/>
          <w:lang w:val="es-ES"/>
        </w:rPr>
        <w:lastRenderedPageBreak/>
        <w:t>Fase 5 (Gestión): Costos del Ciclo de Vida (CAPEX + OPEX)</w:t>
      </w:r>
      <w:bookmarkEnd w:id="45"/>
    </w:p>
    <w:p w14:paraId="1AF663D9" w14:textId="77777777" w:rsidR="00BC0439" w:rsidRPr="00DF62EB" w:rsidRDefault="00000000">
      <w:pPr>
        <w:pStyle w:val="Ttulo3"/>
        <w:rPr>
          <w:lang w:val="es-ES"/>
        </w:rPr>
      </w:pPr>
      <w:bookmarkStart w:id="46" w:name="presupuesto-de-inversión-inicial-capex"/>
      <w:bookmarkStart w:id="47" w:name="_Toc243921758"/>
      <w:r w:rsidRPr="00DF62EB">
        <w:rPr>
          <w:lang w:val="es-ES"/>
        </w:rPr>
        <w:t>Presupuesto de Inversión Inicial (CAPEX)</w:t>
      </w:r>
      <w:bookmarkEnd w:id="47"/>
    </w:p>
    <w:p w14:paraId="79614DCD" w14:textId="77777777" w:rsidR="00BC0439" w:rsidRPr="00DF62EB" w:rsidRDefault="00000000">
      <w:pPr>
        <w:jc w:val="both"/>
        <w:rPr>
          <w:lang w:val="es-ES"/>
        </w:rPr>
      </w:pPr>
      <w:r w:rsidRPr="00DF62EB">
        <w:rPr>
          <w:rFonts w:cs="Times New Roman"/>
          <w:b/>
          <w:bCs/>
          <w:lang w:val="es-ES"/>
        </w:rPr>
        <w:t>Tabla 5</w:t>
      </w:r>
    </w:p>
    <w:p w14:paraId="24F2A6BD" w14:textId="77777777" w:rsidR="00BC0439" w:rsidRPr="00DF62EB" w:rsidRDefault="00000000">
      <w:pPr>
        <w:jc w:val="both"/>
        <w:rPr>
          <w:lang w:val="es-ES"/>
        </w:rPr>
      </w:pPr>
      <w:r w:rsidRPr="00DF62EB">
        <w:rPr>
          <w:rFonts w:cs="Times New Roman"/>
          <w:i/>
          <w:iCs/>
          <w:lang w:val="es-ES"/>
        </w:rPr>
        <w:t>Estructura del presupuesto de inversión inicial (CAPEX)</w:t>
      </w:r>
    </w:p>
    <w:tbl>
      <w:tblPr>
        <w:tblStyle w:val="Table"/>
        <w:tblW w:w="5000" w:type="pct"/>
        <w:tblBorders>
          <w:top w:val="single" w:sz="8" w:space="0" w:color="000000"/>
          <w:bottom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76"/>
        <w:gridCol w:w="1101"/>
        <w:gridCol w:w="1376"/>
        <w:gridCol w:w="1375"/>
        <w:gridCol w:w="1375"/>
        <w:gridCol w:w="1375"/>
        <w:gridCol w:w="1100"/>
      </w:tblGrid>
      <w:tr w:rsidR="00BC0439" w14:paraId="7D16828D" w14:textId="77777777" w:rsidTr="00BC0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35E7B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w="96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C428B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Rubro General de Intervención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18844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57443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Cantidad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A2D32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Costo Unitario (USD)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49E92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Costo Total (USD)</w:t>
            </w:r>
          </w:p>
        </w:tc>
        <w:tc>
          <w:tcPr>
            <w:tcW w:w="96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424D9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Fuente de Financiamiento</w:t>
            </w:r>
          </w:p>
        </w:tc>
      </w:tr>
      <w:tr w:rsidR="00BC0439" w14:paraId="323B3530" w14:textId="77777777" w:rsidTr="00BC0439"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B66D0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C1</w:t>
            </w:r>
          </w:p>
        </w:tc>
        <w:tc>
          <w:tcPr>
            <w:tcW w:w="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422AF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Estudios definitivos, geotecnia y diseño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38DB6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Glb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03572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EFDFA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23610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0F747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GAD Loja / UNL</w:t>
            </w:r>
          </w:p>
        </w:tc>
      </w:tr>
      <w:tr w:rsidR="00BC0439" w14:paraId="6AB5A77A" w14:textId="77777777" w:rsidTr="00BC0439"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43679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C2</w:t>
            </w:r>
          </w:p>
        </w:tc>
        <w:tc>
          <w:tcPr>
            <w:tcW w:w="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A971A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Movilidad activa y aceras accesibles 8-80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37D70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m² / km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005FB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25548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EA8F7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4BE50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Presupuesto GAD</w:t>
            </w:r>
          </w:p>
        </w:tc>
      </w:tr>
      <w:tr w:rsidR="00BC0439" w14:paraId="676093D9" w14:textId="77777777" w:rsidTr="00BC0439"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6D7CC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C3</w:t>
            </w:r>
          </w:p>
        </w:tc>
        <w:tc>
          <w:tcPr>
            <w:tcW w:w="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19D35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Soluciones basadas en la Naturaleza (SUDS)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8A38A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m²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6C232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4C291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91CAD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DF72F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Fondos Climáticos / BDE</w:t>
            </w:r>
          </w:p>
        </w:tc>
      </w:tr>
      <w:tr w:rsidR="00BC0439" w14:paraId="14AA4124" w14:textId="77777777" w:rsidTr="00BC0439"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4DA7F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C4</w:t>
            </w:r>
          </w:p>
        </w:tc>
        <w:tc>
          <w:tcPr>
            <w:tcW w:w="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F4534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Infraestructura verde y Parque Fluvial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EBA87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ha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69055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BC4B4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5ED3A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AC0FB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Cooperación Técnica GIZ</w:t>
            </w:r>
          </w:p>
        </w:tc>
      </w:tr>
      <w:tr w:rsidR="00BC0439" w14:paraId="2DDE07CC" w14:textId="77777777" w:rsidTr="00BC0439"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1C164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C5</w:t>
            </w:r>
          </w:p>
        </w:tc>
        <w:tc>
          <w:tcPr>
            <w:tcW w:w="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505D4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Mobiliario urbano accesible e iluminación LED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D4A18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Glb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03768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A95EE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69CC2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89B64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Presupuesto Municipal</w:t>
            </w:r>
          </w:p>
        </w:tc>
      </w:tr>
      <w:tr w:rsidR="00BC0439" w14:paraId="08CF8BB9" w14:textId="77777777" w:rsidTr="00BC0439"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DE6FD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C6</w:t>
            </w:r>
          </w:p>
        </w:tc>
        <w:tc>
          <w:tcPr>
            <w:tcW w:w="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35580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Fiscalización técnica y control ambiental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3BDF4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Glb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B2B29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37E7D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85CE6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0B514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GAD Loja</w:t>
            </w:r>
          </w:p>
        </w:tc>
      </w:tr>
      <w:tr w:rsidR="00BC0439" w14:paraId="1D6D6792" w14:textId="77777777" w:rsidTr="00BC0439"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FE850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bCs/>
                <w:sz w:val="20"/>
              </w:rPr>
              <w:lastRenderedPageBreak/>
              <w:t>–</w:t>
            </w:r>
          </w:p>
        </w:tc>
        <w:tc>
          <w:tcPr>
            <w:tcW w:w="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01011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b/>
                <w:bCs/>
                <w:sz w:val="20"/>
                <w:lang w:val="es-ES"/>
              </w:rPr>
              <w:t>Costo Total Estimado de Inversión (CAPEX):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52F33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–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074E5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–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145F7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–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5F2B0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0"/>
              </w:rPr>
              <w:t>[Completar USD]</w:t>
            </w:r>
          </w:p>
        </w:tc>
        <w:tc>
          <w:tcPr>
            <w:tcW w:w="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C4199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–</w:t>
            </w:r>
          </w:p>
        </w:tc>
      </w:tr>
    </w:tbl>
    <w:p w14:paraId="092B0F7A" w14:textId="77777777" w:rsidR="00BC0439" w:rsidRPr="00DF62EB" w:rsidRDefault="00000000">
      <w:pPr>
        <w:pStyle w:val="Textoindependiente"/>
        <w:jc w:val="both"/>
        <w:rPr>
          <w:lang w:val="es-ES"/>
        </w:rPr>
      </w:pPr>
      <w:r w:rsidRPr="00DF62EB">
        <w:rPr>
          <w:i/>
          <w:iCs/>
          <w:lang w:val="es-ES"/>
        </w:rPr>
        <w:t>Nota.</w:t>
      </w:r>
      <w:r w:rsidRPr="00DF62EB">
        <w:rPr>
          <w:lang w:val="es-ES"/>
        </w:rPr>
        <w:t xml:space="preserve"> Valores calculados a precios de mercado vigentes de la construcción pública en el cantón Loja.</w:t>
      </w:r>
    </w:p>
    <w:p w14:paraId="53FD8114" w14:textId="77777777" w:rsidR="00BC0439" w:rsidRPr="00DF62EB" w:rsidRDefault="00000000">
      <w:pPr>
        <w:pStyle w:val="Ttulo3"/>
        <w:rPr>
          <w:lang w:val="es-ES"/>
        </w:rPr>
      </w:pPr>
      <w:bookmarkStart w:id="48" w:name="X02a07e14316e00bb8bf944f9c5c51579c78cc04"/>
      <w:bookmarkStart w:id="49" w:name="_Toc243921759"/>
      <w:bookmarkEnd w:id="46"/>
      <w:r w:rsidRPr="00DF62EB">
        <w:rPr>
          <w:lang w:val="es-ES"/>
        </w:rPr>
        <w:t>Presupuesto Operativo y de Mantenimiento Preventivo (OPEX)</w:t>
      </w:r>
      <w:bookmarkEnd w:id="49"/>
    </w:p>
    <w:p w14:paraId="3F4DBA3A" w14:textId="77777777" w:rsidR="00BC0439" w:rsidRPr="00DF62EB" w:rsidRDefault="00000000">
      <w:pPr>
        <w:jc w:val="both"/>
        <w:rPr>
          <w:lang w:val="es-ES"/>
        </w:rPr>
      </w:pPr>
      <w:r w:rsidRPr="00DF62EB">
        <w:rPr>
          <w:rFonts w:cs="Times New Roman"/>
          <w:b/>
          <w:bCs/>
          <w:lang w:val="es-ES"/>
        </w:rPr>
        <w:t>Tabla 6</w:t>
      </w:r>
    </w:p>
    <w:p w14:paraId="23EE145F" w14:textId="77777777" w:rsidR="00BC0439" w:rsidRPr="00DF62EB" w:rsidRDefault="00000000">
      <w:pPr>
        <w:jc w:val="both"/>
        <w:rPr>
          <w:lang w:val="es-ES"/>
        </w:rPr>
      </w:pPr>
      <w:r w:rsidRPr="00DF62EB">
        <w:rPr>
          <w:rFonts w:cs="Times New Roman"/>
          <w:i/>
          <w:iCs/>
          <w:lang w:val="es-ES"/>
        </w:rPr>
        <w:t>Plan de operación y mantenimiento preventivo por horizonte temporal (OPEX)</w:t>
      </w:r>
    </w:p>
    <w:tbl>
      <w:tblPr>
        <w:tblStyle w:val="Table"/>
        <w:tblW w:w="5000" w:type="pct"/>
        <w:tblBorders>
          <w:top w:val="single" w:sz="8" w:space="0" w:color="000000"/>
          <w:bottom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30"/>
        <w:gridCol w:w="1729"/>
        <w:gridCol w:w="1729"/>
        <w:gridCol w:w="2161"/>
        <w:gridCol w:w="1729"/>
      </w:tblGrid>
      <w:tr w:rsidR="00BC0439" w14:paraId="0AACE999" w14:textId="77777777" w:rsidTr="00BC0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8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0370E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Horizonte Temporal</w:t>
            </w:r>
          </w:p>
        </w:tc>
        <w:tc>
          <w:tcPr>
            <w:tcW w:w="1508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D1D47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Actividades Principales de Mantenimiento</w:t>
            </w:r>
          </w:p>
        </w:tc>
        <w:tc>
          <w:tcPr>
            <w:tcW w:w="1508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91D1C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Frecuencia</w:t>
            </w:r>
          </w:p>
        </w:tc>
        <w:tc>
          <w:tcPr>
            <w:tcW w:w="1885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E9FBA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Costo Anual Est. (USD)</w:t>
            </w:r>
          </w:p>
        </w:tc>
        <w:tc>
          <w:tcPr>
            <w:tcW w:w="1508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27344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Entidad Responsable</w:t>
            </w:r>
          </w:p>
        </w:tc>
      </w:tr>
      <w:tr w:rsidR="00BC0439" w14:paraId="17306067" w14:textId="77777777" w:rsidTr="00BC0439">
        <w:tc>
          <w:tcPr>
            <w:tcW w:w="15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A49A8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Corto Plazo (Años 1-5):</w:t>
            </w:r>
          </w:p>
        </w:tc>
        <w:tc>
          <w:tcPr>
            <w:tcW w:w="15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878EA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Limpieza de sedimentos en SUDS, podas y jardinería.</w:t>
            </w:r>
          </w:p>
        </w:tc>
        <w:tc>
          <w:tcPr>
            <w:tcW w:w="15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37C67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Mensual</w:t>
            </w:r>
          </w:p>
        </w:tc>
        <w:tc>
          <w:tcPr>
            <w:tcW w:w="18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85BA1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 USD]</w:t>
            </w:r>
          </w:p>
        </w:tc>
        <w:tc>
          <w:tcPr>
            <w:tcW w:w="15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FEBA8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UMAT / Comité Barrial</w:t>
            </w:r>
          </w:p>
        </w:tc>
      </w:tr>
      <w:tr w:rsidR="00BC0439" w14:paraId="4A425FBF" w14:textId="77777777" w:rsidTr="00BC0439">
        <w:tc>
          <w:tcPr>
            <w:tcW w:w="15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F1720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Mediano Plazo (Años 6-10):</w:t>
            </w:r>
          </w:p>
        </w:tc>
        <w:tc>
          <w:tcPr>
            <w:tcW w:w="15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6F9F2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Reemplazo de áridos en zanjas, pintura y luminarias.</w:t>
            </w:r>
          </w:p>
        </w:tc>
        <w:tc>
          <w:tcPr>
            <w:tcW w:w="15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F9228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Semestral</w:t>
            </w:r>
          </w:p>
        </w:tc>
        <w:tc>
          <w:tcPr>
            <w:tcW w:w="18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6C8D2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 USD]</w:t>
            </w:r>
          </w:p>
        </w:tc>
        <w:tc>
          <w:tcPr>
            <w:tcW w:w="15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2F449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Dirección de Obras Públicas</w:t>
            </w:r>
          </w:p>
        </w:tc>
      </w:tr>
      <w:tr w:rsidR="00BC0439" w14:paraId="51969142" w14:textId="77777777" w:rsidTr="00BC0439">
        <w:tc>
          <w:tcPr>
            <w:tcW w:w="15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00A4F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Largo Plazo (Años 11-25):</w:t>
            </w:r>
          </w:p>
        </w:tc>
        <w:tc>
          <w:tcPr>
            <w:tcW w:w="15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8766E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Rehabilitación de pavimentos y estructuras mayores.</w:t>
            </w:r>
          </w:p>
        </w:tc>
        <w:tc>
          <w:tcPr>
            <w:tcW w:w="15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42C01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Quinquenal</w:t>
            </w:r>
          </w:p>
        </w:tc>
        <w:tc>
          <w:tcPr>
            <w:tcW w:w="18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91E99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 USD]</w:t>
            </w:r>
          </w:p>
        </w:tc>
        <w:tc>
          <w:tcPr>
            <w:tcW w:w="15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78D59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Presupuesto Participativo GAD</w:t>
            </w:r>
          </w:p>
        </w:tc>
      </w:tr>
    </w:tbl>
    <w:p w14:paraId="184F699F" w14:textId="77777777" w:rsidR="00BC0439" w:rsidRPr="00DF62EB" w:rsidRDefault="00000000">
      <w:pPr>
        <w:pStyle w:val="Textoindependiente"/>
        <w:jc w:val="both"/>
        <w:rPr>
          <w:lang w:val="es-ES"/>
        </w:rPr>
      </w:pPr>
      <w:r w:rsidRPr="00DF62EB">
        <w:rPr>
          <w:i/>
          <w:iCs/>
          <w:lang w:val="es-ES"/>
        </w:rPr>
        <w:t>Nota.</w:t>
      </w:r>
      <w:r w:rsidRPr="00DF62EB">
        <w:rPr>
          <w:lang w:val="es-ES"/>
        </w:rPr>
        <w:t xml:space="preserve"> La disponibilidad garantizada de recursos OPEX constituye un requisito de elegibilidad del financiamiento GIZ.</w:t>
      </w:r>
    </w:p>
    <w:p w14:paraId="3993A7AB" w14:textId="77777777" w:rsidR="00BC0439" w:rsidRPr="00DF62EB" w:rsidRDefault="00000000">
      <w:pPr>
        <w:pStyle w:val="Ttulo1"/>
        <w:rPr>
          <w:lang w:val="es-ES"/>
        </w:rPr>
      </w:pPr>
      <w:bookmarkStart w:id="50" w:name="X433f0677d6b5904b441724833b95e76e27cce9e"/>
      <w:bookmarkStart w:id="51" w:name="_Toc243921760"/>
      <w:bookmarkEnd w:id="38"/>
      <w:bookmarkEnd w:id="44"/>
      <w:bookmarkEnd w:id="48"/>
      <w:r w:rsidRPr="00DF62EB">
        <w:rPr>
          <w:rFonts w:ascii="Times New Roman" w:hAnsi="Times New Roman"/>
          <w:lang w:val="es-ES"/>
        </w:rPr>
        <w:lastRenderedPageBreak/>
        <w:t>Sistema de Monitoreo, Evaluación y Retroalimentación (SMER / MNI)</w:t>
      </w:r>
      <w:bookmarkEnd w:id="51"/>
    </w:p>
    <w:p w14:paraId="709419B8" w14:textId="77777777" w:rsidR="00BC0439" w:rsidRPr="00DF62EB" w:rsidRDefault="00000000">
      <w:pPr>
        <w:pStyle w:val="Ttulo2"/>
        <w:rPr>
          <w:lang w:val="es-ES"/>
        </w:rPr>
      </w:pPr>
      <w:bookmarkStart w:id="52" w:name="X05304a25430e6de02c3962516f365cafdae8437"/>
      <w:bookmarkStart w:id="53" w:name="_Toc243921761"/>
      <w:r w:rsidRPr="00DF62EB">
        <w:rPr>
          <w:rFonts w:ascii="Times New Roman" w:hAnsi="Times New Roman"/>
          <w:lang w:val="es-ES"/>
        </w:rPr>
        <w:t>Batería de Indicadores de Impacto en Calidad de Vida</w:t>
      </w:r>
      <w:bookmarkEnd w:id="53"/>
    </w:p>
    <w:p w14:paraId="7CAB966F" w14:textId="77777777" w:rsidR="00BC0439" w:rsidRPr="00DF62EB" w:rsidRDefault="00000000">
      <w:pPr>
        <w:jc w:val="both"/>
        <w:rPr>
          <w:lang w:val="es-ES"/>
        </w:rPr>
      </w:pPr>
      <w:r w:rsidRPr="00DF62EB">
        <w:rPr>
          <w:rFonts w:cs="Times New Roman"/>
          <w:b/>
          <w:bCs/>
          <w:lang w:val="es-ES"/>
        </w:rPr>
        <w:t>Tabla 7</w:t>
      </w:r>
    </w:p>
    <w:p w14:paraId="5DB7246C" w14:textId="77777777" w:rsidR="00BC0439" w:rsidRPr="00DF62EB" w:rsidRDefault="00000000">
      <w:pPr>
        <w:jc w:val="both"/>
        <w:rPr>
          <w:lang w:val="es-ES"/>
        </w:rPr>
      </w:pPr>
      <w:r w:rsidRPr="00DF62EB">
        <w:rPr>
          <w:rFonts w:cs="Times New Roman"/>
          <w:i/>
          <w:iCs/>
          <w:lang w:val="es-ES"/>
        </w:rPr>
        <w:t>Batería de indicadores de impacto alineada al Marco Nacional de Indicadores (MNI)</w:t>
      </w:r>
    </w:p>
    <w:tbl>
      <w:tblPr>
        <w:tblStyle w:val="Table"/>
        <w:tblW w:w="5000" w:type="pct"/>
        <w:tblBorders>
          <w:top w:val="single" w:sz="8" w:space="0" w:color="000000"/>
          <w:bottom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15"/>
        <w:gridCol w:w="1815"/>
        <w:gridCol w:w="1816"/>
        <w:gridCol w:w="1816"/>
        <w:gridCol w:w="1816"/>
      </w:tblGrid>
      <w:tr w:rsidR="00BC0439" w:rsidRPr="00DF62EB" w14:paraId="4E2C7A21" w14:textId="77777777" w:rsidTr="00BC0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D2610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Dimensión del Paradigma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A240E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Indicador de Desempeño / Impacto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60AAB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Línea Base (2026)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43D61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Meta del Proyecto (2028)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3846F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b/>
                <w:sz w:val="20"/>
                <w:lang w:val="es-ES"/>
              </w:rPr>
              <w:t>Método y Fuente de Verificación</w:t>
            </w:r>
          </w:p>
        </w:tc>
      </w:tr>
      <w:tr w:rsidR="00BC0439" w:rsidRPr="00DF62EB" w14:paraId="18E5F0E5" w14:textId="77777777" w:rsidTr="00BC0439"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61BBB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1. Proximidad y Accesibilidad: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2A34F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 xml:space="preserve">% de población con acceso continuo a pie en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≤</m:t>
              </m:r>
            </m:oMath>
            <w:r w:rsidRPr="00DF62EB">
              <w:rPr>
                <w:sz w:val="20"/>
                <w:lang w:val="es-ES"/>
              </w:rPr>
              <w:t xml:space="preserve"> 15 min al sistema.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FE764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[Completar: ej. 20%]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CAB10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95% de la población del polígono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B6671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Isócronas QGIS y encuestas KoBo</w:t>
            </w:r>
          </w:p>
        </w:tc>
      </w:tr>
      <w:tr w:rsidR="00BC0439" w:rsidRPr="00DF62EB" w14:paraId="0272BA1D" w14:textId="77777777" w:rsidTr="00BC0439"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72DA0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2. Seguridad y Autonomía: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E21F3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Tasa de incidentes viales / percepción de seguridad nocturna.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9446A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267E2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Reducción del 80% en incidentes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8069E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Registros de tránsito y sondeos</w:t>
            </w:r>
          </w:p>
        </w:tc>
      </w:tr>
      <w:tr w:rsidR="00BC0439" w14:paraId="1BFE51E9" w14:textId="77777777" w:rsidTr="00BC0439"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A8E6E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3. Inclusión y Cuidados: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6C5AA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Frecuencia de uso del espacio por infancia, mujeres y mayores.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9E1F8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E9BC4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Incremento del 50% en permanencia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AA2A5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Aforos peatonales clasificados</w:t>
            </w:r>
          </w:p>
        </w:tc>
      </w:tr>
      <w:tr w:rsidR="00BC0439" w14:paraId="2F9F0752" w14:textId="77777777" w:rsidTr="00BC0439"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91371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4. Salud y Bienestar: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B8794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Actividad física cotidiana y cobertura de sombra arbórea.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D1514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E71B7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100% de tramos con sombra continua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D3DF7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Mediciones ambientales y aforos</w:t>
            </w:r>
          </w:p>
        </w:tc>
      </w:tr>
      <w:tr w:rsidR="00BC0439" w14:paraId="56CBCA7B" w14:textId="77777777" w:rsidTr="00BC0439"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89F6C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5. Resiliencia Ambiental: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8A26A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Porcentaje de escorrentía pluvial amortiguada in situ por SUDS.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B8E7B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0% retención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5EA97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</m:oMath>
            <w:r>
              <w:rPr>
                <w:sz w:val="20"/>
              </w:rPr>
              <w:t xml:space="preserve"> 35% del volumen de escorrentía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55788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Monitoreo hidrológico de campo</w:t>
            </w:r>
          </w:p>
        </w:tc>
      </w:tr>
      <w:tr w:rsidR="00BC0439" w14:paraId="3915B60A" w14:textId="77777777" w:rsidTr="00BC0439"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3B4DC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6. Vitalidad Económica: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E5681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Permanencia de microactividades comerciales locales de proximidad.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972FF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D7C46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Cero desplazamientos forzados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568E4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Censo de actividades barriales</w:t>
            </w:r>
          </w:p>
        </w:tc>
      </w:tr>
    </w:tbl>
    <w:p w14:paraId="10F574DA" w14:textId="77777777" w:rsidR="00BC0439" w:rsidRPr="00DF62EB" w:rsidRDefault="00000000">
      <w:pPr>
        <w:pStyle w:val="Textoindependiente"/>
        <w:jc w:val="both"/>
        <w:rPr>
          <w:lang w:val="es-ES"/>
        </w:rPr>
      </w:pPr>
      <w:r w:rsidRPr="00DF62EB">
        <w:rPr>
          <w:i/>
          <w:iCs/>
          <w:lang w:val="es-ES"/>
        </w:rPr>
        <w:t>Nota.</w:t>
      </w:r>
      <w:r w:rsidRPr="00DF62EB">
        <w:rPr>
          <w:lang w:val="es-ES"/>
        </w:rPr>
        <w:t xml:space="preserve"> Indicadores estructurados a partir de las orientaciones del Capítulo VII de la Guía Estratégica (MIT &amp; GIZ, 2025).</w:t>
      </w:r>
    </w:p>
    <w:p w14:paraId="33909328" w14:textId="77777777" w:rsidR="00BC0439" w:rsidRPr="00DF62EB" w:rsidRDefault="00000000">
      <w:pPr>
        <w:pStyle w:val="Ttulo2"/>
        <w:rPr>
          <w:lang w:val="es-ES"/>
        </w:rPr>
      </w:pPr>
      <w:bookmarkStart w:id="54" w:name="X785ff24a65888c2d1d284086b853797b9f4c6bf"/>
      <w:bookmarkStart w:id="55" w:name="_Toc243921762"/>
      <w:bookmarkEnd w:id="52"/>
      <w:r w:rsidRPr="00DF62EB">
        <w:rPr>
          <w:rFonts w:ascii="Times New Roman" w:hAnsi="Times New Roman"/>
          <w:lang w:val="es-ES"/>
        </w:rPr>
        <w:lastRenderedPageBreak/>
        <w:t>Trazabilidad de Participación Ciudadana Incidente</w:t>
      </w:r>
      <w:bookmarkEnd w:id="55"/>
    </w:p>
    <w:p w14:paraId="4C6A35B4" w14:textId="77777777" w:rsidR="00BC0439" w:rsidRPr="00DF62EB" w:rsidRDefault="00000000">
      <w:pPr>
        <w:jc w:val="both"/>
        <w:rPr>
          <w:lang w:val="es-ES"/>
        </w:rPr>
      </w:pPr>
      <w:r w:rsidRPr="00DF62EB">
        <w:rPr>
          <w:rFonts w:cs="Times New Roman"/>
          <w:b/>
          <w:bCs/>
          <w:lang w:val="es-ES"/>
        </w:rPr>
        <w:t>Tabla 8</w:t>
      </w:r>
    </w:p>
    <w:p w14:paraId="219B21DE" w14:textId="77777777" w:rsidR="00BC0439" w:rsidRPr="00DF62EB" w:rsidRDefault="00000000">
      <w:pPr>
        <w:jc w:val="both"/>
        <w:rPr>
          <w:lang w:val="es-ES"/>
        </w:rPr>
      </w:pPr>
      <w:r w:rsidRPr="00DF62EB">
        <w:rPr>
          <w:rFonts w:cs="Times New Roman"/>
          <w:i/>
          <w:iCs/>
          <w:lang w:val="es-ES"/>
        </w:rPr>
        <w:t>Registro de trazabilidad de acuerdos y aportes de la participación ciudadana</w:t>
      </w:r>
    </w:p>
    <w:tbl>
      <w:tblPr>
        <w:tblStyle w:val="Table"/>
        <w:tblW w:w="5000" w:type="pct"/>
        <w:tblBorders>
          <w:top w:val="single" w:sz="8" w:space="0" w:color="000000"/>
          <w:bottom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3"/>
        <w:gridCol w:w="1513"/>
        <w:gridCol w:w="1513"/>
        <w:gridCol w:w="1513"/>
        <w:gridCol w:w="1513"/>
        <w:gridCol w:w="1513"/>
      </w:tblGrid>
      <w:tr w:rsidR="00BC0439" w14:paraId="52D26524" w14:textId="77777777" w:rsidTr="00BC0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F1591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Hito del Proceso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B464C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Fecha / Momento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4BDA7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Actores Convocados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CAD06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b/>
                <w:sz w:val="20"/>
                <w:lang w:val="es-ES"/>
              </w:rPr>
              <w:t>Aportes Principales de la Comunidad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694AD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Estado de Incorporación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26DFC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b/>
                <w:sz w:val="20"/>
              </w:rPr>
              <w:t>Justificación Técnica</w:t>
            </w:r>
          </w:p>
        </w:tc>
      </w:tr>
      <w:tr w:rsidR="00BC0439" w:rsidRPr="00DF62EB" w14:paraId="0F031F70" w14:textId="77777777" w:rsidTr="00BC0439"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EF503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Hito 1: Diagnóstico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A533F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88C1A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Vecinos, mujeres, adultos mayores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390B8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Reporte de zonas oscuras y lodo en lluvias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3C36D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Incorporado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D0B9C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Se incluyeron cunetas biofiltrantes y LED</w:t>
            </w:r>
          </w:p>
        </w:tc>
      </w:tr>
      <w:tr w:rsidR="00BC0439" w:rsidRPr="00DF62EB" w14:paraId="472440E9" w14:textId="77777777" w:rsidTr="00BC0439"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9D545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Hito 2: Alternativas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779C8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7AC99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Frentistas y usuarios de transporte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5333C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Demanda de aceras amplias vs. autopista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B73D8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Incorporado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7E04A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Elección de la Alternativa 2 (Calle Completa)</w:t>
            </w:r>
          </w:p>
        </w:tc>
      </w:tr>
      <w:tr w:rsidR="00BC0439" w:rsidRPr="00DF62EB" w14:paraId="07B4AD03" w14:textId="77777777" w:rsidTr="00BC0439"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B162A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Hito 3: Devolución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E3C32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rStyle w:val="VerbatimChar"/>
                <w:rFonts w:ascii="Times New Roman" w:hAnsi="Times New Roman"/>
                <w:sz w:val="20"/>
              </w:rPr>
              <w:t>[Completar]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83C6F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Asamblea barrial general y UNL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321F4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Ajuste en localización de juegos infantiles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A46E4" w14:textId="77777777" w:rsidR="00BC0439" w:rsidRDefault="00000000">
            <w:pPr>
              <w:pStyle w:val="Compact"/>
              <w:spacing w:before="20" w:after="20" w:line="276" w:lineRule="auto"/>
              <w:ind w:firstLine="0"/>
              <w:jc w:val="center"/>
            </w:pPr>
            <w:r>
              <w:rPr>
                <w:sz w:val="20"/>
              </w:rPr>
              <w:t>Incorporado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E439C" w14:textId="77777777" w:rsidR="00BC0439" w:rsidRPr="00DF62EB" w:rsidRDefault="00000000">
            <w:pPr>
              <w:pStyle w:val="Compact"/>
              <w:spacing w:before="20" w:after="20" w:line="276" w:lineRule="auto"/>
              <w:ind w:firstLine="0"/>
              <w:jc w:val="center"/>
              <w:rPr>
                <w:lang w:val="es-ES"/>
              </w:rPr>
            </w:pPr>
            <w:r w:rsidRPr="00DF62EB">
              <w:rPr>
                <w:sz w:val="20"/>
                <w:lang w:val="es-ES"/>
              </w:rPr>
              <w:t>Reubicación a zona protegida de ladera</w:t>
            </w:r>
          </w:p>
        </w:tc>
      </w:tr>
    </w:tbl>
    <w:p w14:paraId="395E10F3" w14:textId="77777777" w:rsidR="00BC0439" w:rsidRPr="00DF62EB" w:rsidRDefault="00000000">
      <w:pPr>
        <w:pStyle w:val="Textoindependiente"/>
        <w:jc w:val="both"/>
        <w:rPr>
          <w:lang w:val="es-ES"/>
        </w:rPr>
      </w:pPr>
      <w:r w:rsidRPr="00DF62EB">
        <w:rPr>
          <w:i/>
          <w:iCs/>
          <w:lang w:val="es-ES"/>
        </w:rPr>
        <w:t>Nota.</w:t>
      </w:r>
      <w:r w:rsidRPr="00DF62EB">
        <w:rPr>
          <w:lang w:val="es-ES"/>
        </w:rPr>
        <w:t xml:space="preserve"> Cumplimiento del estándar nacional de participación incidente con trazabilidad verificable (Sección 5.1, MIT &amp; GIZ, 2025).</w:t>
      </w:r>
    </w:p>
    <w:p w14:paraId="68BD1158" w14:textId="77777777" w:rsidR="00BC0439" w:rsidRDefault="00000000">
      <w:pPr>
        <w:pStyle w:val="Ttulo1"/>
      </w:pPr>
      <w:bookmarkStart w:id="56" w:name="anexos-técnicos-del-expediente"/>
      <w:bookmarkStart w:id="57" w:name="_Toc243921763"/>
      <w:bookmarkEnd w:id="50"/>
      <w:bookmarkEnd w:id="54"/>
      <w:r>
        <w:rPr>
          <w:rFonts w:ascii="Times New Roman" w:hAnsi="Times New Roman"/>
        </w:rPr>
        <w:t>Anexos Técnicos del Expediente</w:t>
      </w:r>
      <w:bookmarkEnd w:id="57"/>
    </w:p>
    <w:p w14:paraId="384F395B" w14:textId="77777777" w:rsidR="00BC0439" w:rsidRPr="00DF62EB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DF62EB">
        <w:rPr>
          <w:b/>
          <w:bCs/>
          <w:lang w:val="es-ES"/>
        </w:rPr>
        <w:t>Anexo A:</w:t>
      </w:r>
      <w:r w:rsidRPr="00DF62EB">
        <w:rPr>
          <w:lang w:val="es-ES"/>
        </w:rPr>
        <w:t xml:space="preserve"> Cartografía y Modelación Espacial SIG (Planos de pendientes, isócronas y zonificación en QGIS).</w:t>
      </w:r>
    </w:p>
    <w:p w14:paraId="52583079" w14:textId="77777777" w:rsidR="00BC0439" w:rsidRPr="00DF62EB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DF62EB">
        <w:rPr>
          <w:b/>
          <w:bCs/>
          <w:lang w:val="es-ES"/>
        </w:rPr>
        <w:t>Anexo B:</w:t>
      </w:r>
      <w:r w:rsidRPr="00DF62EB">
        <w:rPr>
          <w:lang w:val="es-ES"/>
        </w:rPr>
        <w:t xml:space="preserve"> Base de Datos Tabulada de Diagnóstico Socioeconómico (Microdatos INEC CPV 2022 y encuestas KoBoToolbox).</w:t>
      </w:r>
    </w:p>
    <w:p w14:paraId="1C4878B0" w14:textId="77777777" w:rsidR="00BC0439" w:rsidRPr="00DF62EB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DF62EB">
        <w:rPr>
          <w:b/>
          <w:bCs/>
          <w:lang w:val="es-ES"/>
        </w:rPr>
        <w:t>Anexo C:</w:t>
      </w:r>
      <w:r w:rsidRPr="00DF62EB">
        <w:rPr>
          <w:lang w:val="es-ES"/>
        </w:rPr>
        <w:t xml:space="preserve"> Memorias de Cálculo Hidrológico y Dimensionamiento de Soluciones basadas en la Naturaleza (SUDS).</w:t>
      </w:r>
    </w:p>
    <w:p w14:paraId="234AAC8A" w14:textId="77777777" w:rsidR="00BC0439" w:rsidRPr="00DF62EB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DF62EB">
        <w:rPr>
          <w:b/>
          <w:bCs/>
          <w:lang w:val="es-ES"/>
        </w:rPr>
        <w:t>Anexo D:</w:t>
      </w:r>
      <w:r w:rsidRPr="00DF62EB">
        <w:rPr>
          <w:lang w:val="es-ES"/>
        </w:rPr>
        <w:t xml:space="preserve"> Planos Arquitectónicos y Constructivos del Anteproyecto (Secciones de Calle Completa 8-80 y Parque Fluvial).</w:t>
      </w:r>
    </w:p>
    <w:p w14:paraId="02C9F13E" w14:textId="77777777" w:rsidR="00BC0439" w:rsidRPr="00DF62EB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DF62EB">
        <w:rPr>
          <w:b/>
          <w:bCs/>
          <w:lang w:val="es-ES"/>
        </w:rPr>
        <w:t>Anexo E:</w:t>
      </w:r>
      <w:r w:rsidRPr="00DF62EB">
        <w:rPr>
          <w:lang w:val="es-ES"/>
        </w:rPr>
        <w:t xml:space="preserve"> Expediente Social y Actas Notoriadas de Participación Ciudadana Incidente.</w:t>
      </w:r>
    </w:p>
    <w:p w14:paraId="18389977" w14:textId="77777777" w:rsidR="00BC0439" w:rsidRPr="00DF62EB" w:rsidRDefault="00000000">
      <w:pPr>
        <w:pStyle w:val="Ttulo1"/>
        <w:rPr>
          <w:lang w:val="es-ES"/>
        </w:rPr>
      </w:pPr>
      <w:bookmarkStart w:id="58" w:name="referencias"/>
      <w:bookmarkStart w:id="59" w:name="_Toc243921764"/>
      <w:bookmarkEnd w:id="56"/>
      <w:r w:rsidRPr="00DF62EB">
        <w:rPr>
          <w:lang w:val="es-ES"/>
        </w:rPr>
        <w:lastRenderedPageBreak/>
        <w:t>Referencias</w:t>
      </w:r>
      <w:bookmarkEnd w:id="59"/>
    </w:p>
    <w:p w14:paraId="4E6417B7" w14:textId="77777777" w:rsidR="00BC0439" w:rsidRPr="00DF62EB" w:rsidRDefault="00000000">
      <w:pPr>
        <w:pStyle w:val="Bibliografa"/>
        <w:jc w:val="both"/>
        <w:rPr>
          <w:lang w:val="es-ES"/>
        </w:rPr>
      </w:pPr>
      <w:bookmarkStart w:id="60" w:name="refs"/>
      <w:r w:rsidRPr="00DF62EB">
        <w:rPr>
          <w:lang w:val="es-ES"/>
        </w:rPr>
        <w:t xml:space="preserve">Deutsche Gesellschaft für Internationale Zusammenarbeit (GIZ). (2024). </w:t>
      </w:r>
      <w:r w:rsidRPr="00DF62EB">
        <w:rPr>
          <w:i/>
          <w:iCs/>
          <w:lang w:val="es-ES"/>
        </w:rPr>
        <w:t>Guía para elaborar perfiles de proyecto de cambio climático en ciudades del Ecuador</w:t>
      </w:r>
      <w:r w:rsidRPr="00DF62EB">
        <w:rPr>
          <w:lang w:val="es-ES"/>
        </w:rPr>
        <w:t>. Proyecto Ciudades Intermedias Sostenibles (CIS II). GIZ Ecuador.</w:t>
      </w:r>
    </w:p>
    <w:p w14:paraId="70EE9BC6" w14:textId="77777777" w:rsidR="00BC0439" w:rsidRPr="00DF62EB" w:rsidRDefault="00000000">
      <w:pPr>
        <w:pStyle w:val="Bibliografa"/>
        <w:jc w:val="both"/>
        <w:rPr>
          <w:lang w:val="es-ES"/>
        </w:rPr>
      </w:pPr>
      <w:r w:rsidRPr="00DF62EB">
        <w:rPr>
          <w:lang w:val="es-ES"/>
        </w:rPr>
        <w:t xml:space="preserve">Instituto Nacional de Estadística y Censos (INEC). (2022). </w:t>
      </w:r>
      <w:r w:rsidRPr="00DF62EB">
        <w:rPr>
          <w:i/>
          <w:iCs/>
          <w:lang w:val="es-ES"/>
        </w:rPr>
        <w:t>Censo de Población y Vivienda 2022: Base de datos REDATAM</w:t>
      </w:r>
      <w:r w:rsidRPr="00DF62EB">
        <w:rPr>
          <w:lang w:val="es-ES"/>
        </w:rPr>
        <w:t>. INEC Ecuador.</w:t>
      </w:r>
    </w:p>
    <w:p w14:paraId="0CDAE209" w14:textId="77777777" w:rsidR="00BC0439" w:rsidRPr="00DF62EB" w:rsidRDefault="00000000">
      <w:pPr>
        <w:pStyle w:val="Bibliografa"/>
        <w:jc w:val="both"/>
        <w:rPr>
          <w:lang w:val="es-ES"/>
        </w:rPr>
      </w:pPr>
      <w:r w:rsidRPr="00DF62EB">
        <w:rPr>
          <w:lang w:val="es-ES"/>
        </w:rPr>
        <w:t xml:space="preserve">Ministerio de Infraestructura y Transporte (MIT), Viceministerio de Desarrollo Urbano Sostenible y Vivienda, &amp; Deutsche Gesellschaft für Internationale Zusammenarbeit (GIZ). (2025). </w:t>
      </w:r>
      <w:r w:rsidRPr="00DF62EB">
        <w:rPr>
          <w:i/>
          <w:iCs/>
          <w:lang w:val="es-ES"/>
        </w:rPr>
        <w:t>Guía estratégica: Cambio de paradigma en la planificación territorial aplicado al espacio público</w:t>
      </w:r>
      <w:r w:rsidRPr="00DF62EB">
        <w:rPr>
          <w:lang w:val="es-ES"/>
        </w:rPr>
        <w:t>. Programa Ciudades Intermedias Sostenibles (CIS II). MIT &amp; GIZ.</w:t>
      </w:r>
    </w:p>
    <w:p w14:paraId="441E2459" w14:textId="77777777" w:rsidR="00BC0439" w:rsidRPr="00DF62EB" w:rsidRDefault="00000000">
      <w:pPr>
        <w:pStyle w:val="Bibliografa"/>
        <w:jc w:val="both"/>
        <w:rPr>
          <w:lang w:val="es-ES"/>
        </w:rPr>
      </w:pPr>
      <w:r w:rsidRPr="00DF62EB">
        <w:rPr>
          <w:lang w:val="es-ES"/>
        </w:rPr>
        <w:t xml:space="preserve">Organización Mundial de la Salud (OMS). (2020). </w:t>
      </w:r>
      <w:r w:rsidRPr="00DF62EB">
        <w:rPr>
          <w:i/>
          <w:iCs/>
          <w:lang w:val="es-ES"/>
        </w:rPr>
        <w:t>Integrar la salud en la planificación urbana y territorial: Manual de consulta</w:t>
      </w:r>
      <w:r w:rsidRPr="00DF62EB">
        <w:rPr>
          <w:lang w:val="es-ES"/>
        </w:rPr>
        <w:t>. OMS &amp; ONU-Hábitat.</w:t>
      </w:r>
    </w:p>
    <w:p w14:paraId="53654332" w14:textId="77777777" w:rsidR="00BC0439" w:rsidRDefault="00000000">
      <w:pPr>
        <w:pStyle w:val="Bibliografa"/>
        <w:jc w:val="both"/>
      </w:pPr>
      <w:r w:rsidRPr="00DF62EB">
        <w:rPr>
          <w:lang w:val="es-ES"/>
        </w:rPr>
        <w:t xml:space="preserve">Secretaría Nacional de Planificación (SNP). (2025). </w:t>
      </w:r>
      <w:r w:rsidRPr="00DF62EB">
        <w:rPr>
          <w:i/>
          <w:iCs/>
          <w:lang w:val="es-ES"/>
        </w:rPr>
        <w:t>Plan Nacional de Desarrollo 2025–2029: Ecuador no se detiene</w:t>
      </w:r>
      <w:r w:rsidRPr="00DF62EB">
        <w:rPr>
          <w:lang w:val="es-ES"/>
        </w:rPr>
        <w:t xml:space="preserve">. </w:t>
      </w:r>
      <w:r>
        <w:t>Gobierno de la República del Ecuador.</w:t>
      </w:r>
      <w:bookmarkEnd w:id="58"/>
      <w:bookmarkEnd w:id="60"/>
    </w:p>
    <w:sectPr w:rsidR="00BC043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A6FC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2AC0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79447777">
    <w:abstractNumId w:val="0"/>
  </w:num>
  <w:num w:numId="2" w16cid:durableId="580716356">
    <w:abstractNumId w:val="1"/>
  </w:num>
  <w:num w:numId="3" w16cid:durableId="1157694927">
    <w:abstractNumId w:val="1"/>
  </w:num>
  <w:num w:numId="4" w16cid:durableId="1089279018">
    <w:abstractNumId w:val="1"/>
  </w:num>
  <w:num w:numId="5" w16cid:durableId="2024044567">
    <w:abstractNumId w:val="1"/>
  </w:num>
  <w:num w:numId="6" w16cid:durableId="656153061">
    <w:abstractNumId w:val="1"/>
  </w:num>
  <w:num w:numId="7" w16cid:durableId="1183713961">
    <w:abstractNumId w:val="1"/>
  </w:num>
  <w:num w:numId="8" w16cid:durableId="1672219085">
    <w:abstractNumId w:val="1"/>
  </w:num>
  <w:num w:numId="9" w16cid:durableId="792870762">
    <w:abstractNumId w:val="1"/>
  </w:num>
  <w:num w:numId="10" w16cid:durableId="468399056">
    <w:abstractNumId w:val="1"/>
  </w:num>
  <w:num w:numId="11" w16cid:durableId="816343475">
    <w:abstractNumId w:val="1"/>
  </w:num>
  <w:num w:numId="12" w16cid:durableId="1536500330">
    <w:abstractNumId w:val="1"/>
  </w:num>
  <w:num w:numId="13" w16cid:durableId="481429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439"/>
    <w:rsid w:val="0017720E"/>
    <w:rsid w:val="00A215E8"/>
    <w:rsid w:val="00BC0439"/>
    <w:rsid w:val="00DF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8AE89"/>
  <w15:docId w15:val="{F958905D-A1DB-414E-A7C2-D5D1500A9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0" w:line="360" w:lineRule="auto"/>
      <w:ind w:firstLine="720"/>
    </w:pPr>
    <w:rPr>
      <w:rFonts w:ascii="Times New Roman" w:hAnsi="Times New Roman"/>
      <w:color w:val="000000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28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240" w:after="80"/>
      <w:ind w:firstLine="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200" w:after="80"/>
      <w:ind w:firstLine="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160" w:after="4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before="240" w:after="12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b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  <w:spacing w:after="360"/>
    </w:pPr>
    <w:rPr>
      <w:rFonts w:ascii="Times New Roman" w:hAnsi="Times New Roman"/>
      <w:b w:val="0"/>
      <w:i/>
      <w:color w:val="333333"/>
      <w:spacing w:val="15"/>
      <w:sz w:val="2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  <w:pPr>
      <w:spacing w:after="120"/>
      <w:ind w:left="720" w:hanging="720"/>
    </w:pPr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 w:firstLine="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  <w:spacing w:before="120" w:after="40"/>
      <w:ind w:firstLine="0"/>
    </w:pPr>
    <w:rPr>
      <w:sz w:val="22"/>
    </w:r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D73A49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D73A49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005CC5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005CC5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005CC5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005CC5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032F62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005CC5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032F62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032F62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032F62"/>
      <w:sz w:val="22"/>
    </w:rPr>
  </w:style>
  <w:style w:type="character" w:customStyle="1" w:styleId="ImportTok">
    <w:name w:val="ImportTok"/>
    <w:basedOn w:val="VerbatimChar"/>
    <w:rPr>
      <w:rFonts w:ascii="Consolas" w:hAnsi="Consolas"/>
      <w:color w:val="032F62"/>
      <w:sz w:val="22"/>
    </w:rPr>
  </w:style>
  <w:style w:type="character" w:customStyle="1" w:styleId="CommentTok">
    <w:name w:val="CommentTok"/>
    <w:basedOn w:val="VerbatimChar"/>
    <w:rPr>
      <w:rFonts w:ascii="Consolas" w:hAnsi="Consolas"/>
      <w:color w:val="6A737D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color w:val="6A737D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color w:val="6A737D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color w:val="6A737D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6F42C1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6F42C1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E36209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color w:val="D73A49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24292E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D73A49"/>
      <w:sz w:val="22"/>
    </w:rPr>
  </w:style>
  <w:style w:type="character" w:customStyle="1" w:styleId="ExtensionTok">
    <w:name w:val="ExtensionTok"/>
    <w:basedOn w:val="VerbatimChar"/>
    <w:rPr>
      <w:rFonts w:ascii="Consolas" w:hAnsi="Consolas"/>
      <w:b/>
      <w:color w:val="D73A49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D73A49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D73A4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color w:val="6A737D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color w:val="6A737D"/>
      <w:sz w:val="22"/>
    </w:rPr>
  </w:style>
  <w:style w:type="character" w:customStyle="1" w:styleId="WarningTok">
    <w:name w:val="WarningTok"/>
    <w:basedOn w:val="VerbatimChar"/>
    <w:rPr>
      <w:rFonts w:ascii="Consolas" w:hAnsi="Consolas"/>
      <w:color w:val="FF5555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5555"/>
      <w:sz w:val="22"/>
    </w:rPr>
  </w:style>
  <w:style w:type="character" w:customStyle="1" w:styleId="ErrorTok">
    <w:name w:val="ErrorTok"/>
    <w:basedOn w:val="VerbatimChar"/>
    <w:rPr>
      <w:rFonts w:ascii="Consolas" w:hAnsi="Consolas"/>
      <w:color w:val="FF5555"/>
      <w:sz w:val="22"/>
    </w:rPr>
  </w:style>
  <w:style w:type="character" w:customStyle="1" w:styleId="NormalTok">
    <w:name w:val="NormalTok"/>
    <w:basedOn w:val="VerbatimChar"/>
    <w:rPr>
      <w:rFonts w:ascii="Consolas" w:hAnsi="Consolas"/>
      <w:color w:val="24292E"/>
      <w:sz w:val="22"/>
    </w:rPr>
  </w:style>
  <w:style w:type="paragraph" w:styleId="TDC1">
    <w:name w:val="toc 1"/>
    <w:basedOn w:val="Normal"/>
    <w:next w:val="Normal"/>
    <w:autoRedefine/>
    <w:uiPriority w:val="39"/>
    <w:rsid w:val="00A215E8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A215E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A215E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3300</Words>
  <Characters>18156</Characters>
  <Application>Microsoft Office Word</Application>
  <DocSecurity>0</DocSecurity>
  <Lines>151</Lines>
  <Paragraphs>42</Paragraphs>
  <ScaleCrop>false</ScaleCrop>
  <Company/>
  <LinksUpToDate>false</LinksUpToDate>
  <CharactersWithSpaces>21414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TÉCNICO Y PERFIL DE PROYECTO DE ESPACIO PÚBLICO</dc:title>
  <dc:creator>Equipo Técnico Interdisciplinario (Economía &amp; Arquitectura - UNL)</dc:creator>
  <cp:keywords/>
  <cp:lastModifiedBy>ERICK_FCS .</cp:lastModifiedBy>
  <cp:revision>3</cp:revision>
  <dcterms:created xsi:type="dcterms:W3CDTF">2026-10-26T20:40:00Z</dcterms:created>
  <dcterms:modified xsi:type="dcterms:W3CDTF">2026-10-26T20:42:00Z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2026-10-26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Estructura Operativa y Guía de Formulación conforme a la Guía Estratégica: Cambio de Paradigma en la Planificación Territorial aplicado al Espacio Público (MIT - Viceministerio de Desarrollo Urbano Sostenible y Vivienda / GIZ Ecuador - CIS II)</vt:lpwstr>
  </property>
  <property fmtid="{D5CDD505-2E9C-101B-9397-08002B2CF9AE}" pid="11" name="toc-title">
    <vt:lpwstr>Índice de Contenido</vt:lpwstr>
  </property>
</Properties>
</file>