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726BD63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w:t>
      </w:r>
      <w:r w:rsidRPr="004B555F">
        <w:rPr>
          <w:rFonts w:ascii="Arial" w:eastAsia="Tahoma" w:hAnsi="Arial" w:cs="Arial"/>
          <w:b/>
          <w:color w:val="000000"/>
        </w:rPr>
        <w:t xml:space="preserve"> ANIMAL</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D. Elvia Zhapa Amay</w:t>
      </w:r>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Ing. Hernán Torres, Ms.Sc.</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7CD022A3" w14:textId="7D363935" w:rsidR="00954655"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E52631">
        <w:rPr>
          <w:rFonts w:ascii="Tahoma" w:eastAsia="Tahoma" w:hAnsi="Tahoma" w:cs="Tahoma"/>
          <w:color w:val="000000"/>
        </w:rPr>
        <w:t>Mg.Sc. Roberto Claudio Bustillos Huilca</w:t>
      </w:r>
    </w:p>
    <w:p w14:paraId="243DAD0D" w14:textId="77777777" w:rsidR="00E52631" w:rsidRPr="00652C9B" w:rsidRDefault="00E5263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C3197C">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C3197C">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C3197C">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C3197C">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C3197C">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E9736AA"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EN </w:t>
            </w:r>
            <w:r w:rsidR="00E52631">
              <w:rPr>
                <w:rFonts w:ascii="Arial" w:eastAsia="Tahoma" w:hAnsi="Arial" w:cs="Arial"/>
                <w:b/>
                <w:color w:val="000000"/>
              </w:rPr>
              <w:t>SANIDAD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Total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15</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2C0686E4" w:rsidR="00960258" w:rsidRPr="00652C9B" w:rsidRDefault="00C3197C"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C3197C">
              <w:rPr>
                <w:rFonts w:ascii="Arial" w:eastAsia="Tahoma" w:hAnsi="Arial" w:cs="Arial"/>
                <w:color w:val="000000"/>
              </w:rPr>
              <w:t>Mg.Sc. Roberto Claudio Bustillos Huilca</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DDE9CAD"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E52631">
        <w:rPr>
          <w:rFonts w:ascii="Arial" w:eastAsia="Tahoma" w:hAnsi="Arial" w:cs="Arial"/>
          <w:color w:val="000000"/>
        </w:rPr>
        <w:t>Maestría en Sanidad Animal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A36BFE1"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15.</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62E6823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E52631">
        <w:rPr>
          <w:rFonts w:ascii="Arial" w:eastAsia="Tahoma" w:hAnsi="Arial" w:cs="Arial"/>
          <w:color w:val="000000"/>
        </w:rPr>
        <w:t>Maestría en Sanidad Animal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7100E0">
        <w:rPr>
          <w:rFonts w:ascii="Arial" w:eastAsia="Tahoma" w:hAnsi="Arial" w:cs="Arial"/>
          <w:b/>
          <w:color w:val="000000"/>
        </w:rPr>
        <w:t>1</w:t>
      </w:r>
      <w:r w:rsidR="00E52631">
        <w:rPr>
          <w:rFonts w:ascii="Arial" w:eastAsia="Tahoma" w:hAnsi="Arial" w:cs="Arial"/>
          <w:b/>
          <w:color w:val="000000"/>
        </w:rPr>
        <w:t>5</w:t>
      </w:r>
      <w:r w:rsidRPr="00652C9B">
        <w:rPr>
          <w:rFonts w:ascii="Arial" w:eastAsia="Tahoma" w:hAnsi="Arial" w:cs="Arial"/>
          <w:color w:val="000000"/>
        </w:rPr>
        <w:t xml:space="preserve">, misma que cumple con las características descritas por (Gutiérrez González &amp; Panteleeva)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A continuación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8DDCF3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0,5*0,5*16</m:t>
                  </m:r>
                </m:num>
                <m:den>
                  <m:d>
                    <m:dPr>
                      <m:ctrlPr>
                        <w:rPr>
                          <w:rFonts w:ascii="Cambria Math" w:eastAsia="Cambria Math" w:hAnsi="Cambria Math" w:cs="Arial"/>
                        </w:rPr>
                      </m:ctrlPr>
                    </m:dPr>
                    <m:e>
                      <m:r>
                        <w:rPr>
                          <w:rFonts w:ascii="Cambria Math" w:eastAsia="Cambria Math" w:hAnsi="Cambria Math" w:cs="Arial"/>
                        </w:rPr>
                        <m:t>16-1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6966123B"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E52631">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e</w:t>
            </w:r>
            <w:r w:rsidRPr="00652C9B">
              <w:rPr>
                <w:rFonts w:ascii="Arial" w:eastAsia="Tahoma" w:hAnsi="Arial" w:cs="Arial"/>
                <w:color w:val="000000"/>
              </w:rPr>
              <w:t xml:space="preserve"> = Error máximo admisible para  inferencias de muestras  estadísticas, el mismo que es inversamente proporcional, al tamaño de la muestra, es decir  que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34A352C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rPr>
        <w:t>1</w:t>
      </w:r>
      <w:r w:rsidR="00E52631">
        <w:rPr>
          <w:rFonts w:ascii="Arial" w:eastAsia="Tahoma" w:hAnsi="Arial" w:cs="Arial"/>
          <w:b/>
          <w:color w:val="000000"/>
        </w:rPr>
        <w:t>5</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C3197C">
        <w:rPr/>
        <w:fldChar w:fldCharType="begin"/>
      </w:r>
      <w:r w:rsidR="00C3197C">
        <w:rPr/>
        <w:instrText xml:space="preserve"> SEQ Tabla \* ARABIC </w:instrText>
      </w:r>
      <w:r w:rsidR="00C3197C">
        <w:rPr/>
        <w:fldChar w:fldCharType="separate"/>
      </w:r>
      <w:r w:rsidR="005D60C3">
        <w:rPr>
          <w:noProof/>
        </w:rPr>
        <w:t>1</w:t>
      </w:r>
      <w:r w:rsidR="00C3197C">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15 maestrantes, con una marcada predominancia masculina (53.33%) frente a un 46.67% de mujeres. El 66.67% son solteros y los rangos de edad predominantes se sitúan entre los 26 y 35 años (60.00%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C3197C">
        <w:rPr/>
        <w:fldChar w:fldCharType="begin"/>
      </w:r>
      <w:r w:rsidR="00C3197C">
        <w:rPr/>
        <w:instrText xml:space="preserve"> SEQ Tabla \* ARABIC </w:instrText>
      </w:r>
      <w:r w:rsidR="00C3197C">
        <w:rPr/>
        <w:fldChar w:fldCharType="separate"/>
      </w:r>
      <w:r w:rsidR="005D60C3">
        <w:rPr>
          <w:noProof/>
        </w:rPr>
        <w:t>2</w:t>
      </w:r>
      <w:r w:rsidR="00C3197C">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8</w:t>
            </w:r>
          </w:p>
        </w:tc>
        <w:tc>
          <w:tcPr>
            <w:tcW w:w="945" w:type="pct"/>
            <w:noWrap/>
            <w:hideMark/>
          </w:tcPr>
          <w:p>
            <w:pPr>
              <w:spacing w:before="0" w:after="0"/>
              <w:jc w:val="center"/>
            </w:pPr>
            <w:r>
              <w:t>53,33%</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46,67%</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10</w:t>
            </w:r>
          </w:p>
        </w:tc>
        <w:tc>
          <w:tcPr>
            <w:tcW w:w="945" w:type="pct"/>
            <w:noWrap/>
            <w:hideMark/>
          </w:tcPr>
          <w:p>
            <w:pPr>
              <w:spacing w:before="0" w:after="0"/>
              <w:jc w:val="center"/>
            </w:pPr>
            <w:r>
              <w:t>66,67%</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6,67%</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6,67%</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7</w:t>
            </w:r>
          </w:p>
        </w:tc>
        <w:tc>
          <w:tcPr>
            <w:tcW w:w="945" w:type="pct"/>
            <w:noWrap/>
            <w:hideMark/>
          </w:tcPr>
          <w:p>
            <w:pPr>
              <w:spacing w:before="0" w:after="0"/>
              <w:jc w:val="center"/>
            </w:pPr>
            <w:r>
              <w:t>46,67%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13,33%</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3</w:t>
            </w:r>
          </w:p>
        </w:tc>
        <w:tc>
          <w:tcPr>
            <w:tcW w:w="945" w:type="pct"/>
            <w:noWrap/>
            <w:hideMark/>
          </w:tcPr>
          <w:p>
            <w:pPr>
              <w:spacing w:before="0" w:after="0"/>
              <w:jc w:val="center"/>
            </w:pPr>
            <w:r>
              <w:t>20,00%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100.00% de los maestrantes (15 personas) evidencia interés en formarse y actualizarse profesionalmente, mientras que el 0.00% restante (0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r w:rsidR="00F83D83">
        <w:rPr>
          <w:rFonts w:ascii="Arial" w:eastAsia="Arial" w:hAnsi="Arial" w:cs="Arial"/>
        </w:rPr>
        <w:t xml:space="preserve">Los curso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autoinstruccionales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Ph.D</w:t>
      </w:r>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3</w:t>
      </w:r>
      <w:r w:rsidR="00C3197C">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66,67%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autoinstruccionales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13,33%</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46,67%</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60,00%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1…..</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Trabajo en equipo</w:t>
      </w:r>
    </w:p>
    <w:p>
      <w:pPr>
        <w:spacing w:after="40" w:before="40"/>
        <w:ind w:left="360"/>
      </w:pPr>
      <w:r>
        <w:rPr>
          <w:rFonts w:ascii="Calibri" w:hAnsi="Calibri"/>
          <w:sz w:val="22"/>
        </w:rPr>
        <w:t>• Gestión y administración pública</w:t>
      </w:r>
    </w:p>
    <w:p>
      <w:pPr>
        <w:spacing w:after="40" w:before="40"/>
        <w:ind w:left="360"/>
      </w:pPr>
      <w:r>
        <w:rPr>
          <w:rFonts w:ascii="Calibri" w:hAnsi="Calibri"/>
          <w:sz w:val="22"/>
        </w:rPr>
        <w:t>• Nuevas tecnologías</w:t>
      </w:r>
    </w:p>
    <w:p>
      <w:pPr>
        <w:spacing w:after="40" w:before="40"/>
        <w:ind w:left="360"/>
      </w:pPr>
      <w:r>
        <w:rPr>
          <w:rFonts w:ascii="Calibri" w:hAnsi="Calibri"/>
          <w:sz w:val="22"/>
        </w:rPr>
        <w:t>• Clínica, Cirugia</w:t>
      </w:r>
    </w:p>
    <w:p>
      <w:pPr>
        <w:spacing w:after="40" w:before="40"/>
        <w:ind w:left="360"/>
      </w:pPr>
      <w:r>
        <w:rPr>
          <w:rFonts w:ascii="Calibri" w:hAnsi="Calibri"/>
          <w:sz w:val="22"/>
        </w:rPr>
        <w:t>• Investigación</w:t>
      </w:r>
    </w:p>
    <w:p>
      <w:pPr>
        <w:spacing w:after="40" w:before="40"/>
        <w:ind w:left="360"/>
      </w:pPr>
      <w:r>
        <w:rPr>
          <w:rFonts w:ascii="Calibri" w:hAnsi="Calibri"/>
          <w:sz w:val="22"/>
        </w:rPr>
        <w:t>• Finanzas</w:t>
      </w:r>
    </w:p>
    <w:p>
      <w:pPr>
        <w:spacing w:after="40" w:before="40"/>
        <w:ind w:left="360"/>
      </w:pPr>
      <w:r>
        <w:rPr>
          <w:rFonts w:ascii="Calibri" w:hAnsi="Calibri"/>
          <w:sz w:val="22"/>
        </w:rPr>
        <w:t>• Toma de decisiones</w:t>
      </w:r>
    </w:p>
    <w:p>
      <w:pPr>
        <w:spacing w:after="40" w:before="40"/>
        <w:ind w:left="360"/>
      </w:pPr>
      <w:r>
        <w:rPr>
          <w:rFonts w:ascii="Calibri" w:hAnsi="Calibri"/>
          <w:sz w:val="22"/>
        </w:rPr>
        <w:t>• Traumatología, Ortopedia</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Francés,</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895DE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E52631">
        <w:rPr>
          <w:rFonts w:ascii="Arial" w:eastAsia="Tahoma" w:hAnsi="Arial" w:cs="Arial"/>
          <w:color w:val="000000"/>
        </w:rPr>
        <w:t>Maestría en Sanidad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continua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4</w:t>
      </w:r>
      <w:r w:rsidR="00C3197C">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Búsqueda y sistematización de info.</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40.00% de los empleadores califica al graduado como Muy Bueno, y el 40.00% como Bueno. Adicionalmente, el comportamiento ético y el compromiso institucional se destacan con un 40.00% y 40.00%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5</w:t>
      </w:r>
      <w:r w:rsidR="00C3197C">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60,00%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20,00%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20,00%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40,00%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6</w:t>
      </w:r>
      <w:r w:rsidR="00C3197C">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6,67%</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6,67%</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inserción laboral activa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conjunto, los resultados muestran una inserción laboral principalmente técnica, con oportunidades de mejora en el acceso a cargos directivos y de mayor responsabilidad.Final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Abogado</w:t>
      </w:r>
    </w:p>
    <w:p>
      <w:pPr>
        <w:spacing w:after="40" w:before="40"/>
        <w:ind w:left="360"/>
      </w:pPr>
      <w:r>
        <w:rPr>
          <w:rFonts w:ascii="Calibri" w:hAnsi="Calibri"/>
          <w:sz w:val="22"/>
        </w:rPr>
        <w:t>• Docente de grado</w:t>
      </w:r>
    </w:p>
    <w:p>
      <w:pPr>
        <w:spacing w:after="40" w:before="40"/>
        <w:ind w:left="360"/>
      </w:pPr>
      <w:r>
        <w:rPr>
          <w:rFonts w:ascii="Calibri" w:hAnsi="Calibri"/>
          <w:sz w:val="22"/>
        </w:rPr>
        <w:t>• Auditor interno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Veterinari</w:t>
      </w:r>
    </w:p>
    <w:p>
      <w:pPr>
        <w:spacing w:after="40" w:before="40"/>
        <w:ind w:left="360"/>
      </w:pPr>
      <w:r>
        <w:rPr>
          <w:rFonts w:ascii="Calibri" w:hAnsi="Calibri"/>
          <w:sz w:val="22"/>
        </w:rPr>
        <w:t>• Abogada en libre ejercicio</w:t>
      </w:r>
    </w:p>
    <w:p>
      <w:pPr>
        <w:spacing w:after="40" w:before="40"/>
        <w:ind w:left="360"/>
      </w:pPr>
      <w:r>
        <w:rPr>
          <w:rFonts w:ascii="Calibri" w:hAnsi="Calibri"/>
          <w:sz w:val="22"/>
        </w:rPr>
        <w:t>• Relacionado con la profesión</w:t>
      </w:r>
    </w:p>
    <w:p>
      <w:pPr>
        <w:spacing w:after="40" w:before="40"/>
        <w:ind w:left="360"/>
      </w:pPr>
      <w:r>
        <w:rPr>
          <w:rFonts w:ascii="Calibri" w:hAnsi="Calibri"/>
          <w:sz w:val="22"/>
        </w:rPr>
        <w:t>• Docente tutor de asignatura</w:t>
      </w:r>
    </w:p>
    <w:p>
      <w:pPr>
        <w:spacing w:after="40" w:before="40"/>
        <w:ind w:left="360"/>
      </w:pPr>
      <w:r>
        <w:rPr>
          <w:rFonts w:ascii="Calibri" w:hAnsi="Calibri"/>
          <w:sz w:val="22"/>
        </w:rPr>
        <w:t>• Supervisar - controlar y analizar las distintas areas financieras de solca</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7</w:t>
      </w:r>
      <w:r w:rsidR="00C3197C">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sidR="005D60C3">
        <w:rPr>
          <w:noProof/>
        </w:rPr>
        <w:t>8</w:t>
      </w:r>
      <w:r w:rsidR="00C3197C">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5</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40,00%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40,00%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3</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80,00%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20,00%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9</w:t>
      </w:r>
      <w:r w:rsidR="00C3197C">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33,33%</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6,67%</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6,67%</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13,33%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"Zoovet",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10</w:t>
      </w:r>
      <w:r w:rsidR="00C3197C">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6,67%</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46,67%</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Bélgica</w:t>
      </w:r>
    </w:p>
    <w:p>
      <w:pPr>
        <w:spacing w:after="40" w:before="40"/>
        <w:ind w:left="360"/>
      </w:pPr>
      <w:r>
        <w:rPr>
          <w:rFonts w:ascii="Calibri" w:hAnsi="Calibri"/>
          <w:sz w:val="22"/>
        </w:rPr>
        <w:t>• Icca</w:t>
      </w:r>
    </w:p>
    <w:p>
      <w:pPr>
        <w:spacing w:after="40" w:before="40"/>
        <w:ind w:left="360"/>
      </w:pPr>
      <w:r>
        <w:rPr>
          <w:rFonts w:ascii="Calibri" w:hAnsi="Calibri"/>
          <w:sz w:val="22"/>
        </w:rPr>
        <w:t>• Gestion Pecuaria</w:t>
      </w:r>
    </w:p>
    <w:p>
      <w:pPr>
        <w:spacing w:after="40" w:before="40"/>
        <w:ind w:left="360"/>
      </w:pPr>
      <w:r>
        <w:rPr>
          <w:rFonts w:ascii="Calibri" w:hAnsi="Calibri"/>
          <w:sz w:val="22"/>
        </w:rPr>
        <w:t>• Universidad Central del Ecuador / UCLouvain</w:t>
      </w:r>
    </w:p>
    <w:p>
      <w:pPr>
        <w:spacing w:after="40" w:before="40"/>
        <w:ind w:left="360"/>
      </w:pPr>
      <w:r>
        <w:rPr>
          <w:rFonts w:ascii="Calibri" w:hAnsi="Calibri"/>
          <w:sz w:val="22"/>
        </w:rPr>
        <w:t>• Universidad península de Santa Elena</w:t>
      </w:r>
    </w:p>
    <w:p>
      <w:pPr>
        <w:spacing w:after="40" w:before="40"/>
        <w:ind w:left="360"/>
      </w:pPr>
      <w:r>
        <w:rPr>
          <w:rFonts w:ascii="Calibri" w:hAnsi="Calibri"/>
          <w:sz w:val="22"/>
        </w:rPr>
        <w:t>• Ucacue</w:t>
      </w:r>
    </w:p>
    <w:p>
      <w:pPr>
        <w:spacing w:after="40" w:before="40"/>
        <w:ind w:left="360"/>
      </w:pPr>
      <w:r>
        <w:rPr>
          <w:rFonts w:ascii="Calibri" w:hAnsi="Calibri"/>
          <w:sz w:val="22"/>
        </w:rPr>
        <w:t>• Universidad Técnica De Cotopaxi</w:t>
      </w:r>
    </w:p>
    <w:p>
      <w:pPr>
        <w:spacing w:after="40" w:before="40"/>
        <w:ind w:left="360"/>
      </w:pPr>
      <w:r>
        <w:rPr>
          <w:rFonts w:ascii="Calibri" w:hAnsi="Calibri"/>
          <w:sz w:val="22"/>
        </w:rPr>
        <w:t>• Clafem, fao, cepic</w:t>
      </w:r>
    </w:p>
    <w:p>
      <w:pPr>
        <w:spacing w:after="40" w:before="40"/>
        <w:ind w:left="360"/>
      </w:pPr>
      <w:r>
        <w:rPr>
          <w:rFonts w:ascii="Calibri" w:hAnsi="Calibri"/>
          <w:sz w:val="22"/>
        </w:rPr>
        <w:t>• Ministerio de agricultura ganadería y pesca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Bélgica</w:t>
      </w:r>
    </w:p>
    <w:p>
      <w:pPr>
        <w:spacing w:after="40" w:before="40"/>
        <w:ind w:left="360"/>
      </w:pPr>
      <w:r>
        <w:rPr>
          <w:rFonts w:ascii="Calibri" w:hAnsi="Calibri"/>
          <w:sz w:val="22"/>
        </w:rPr>
        <w:t>• Icca</w:t>
      </w:r>
    </w:p>
    <w:p>
      <w:pPr>
        <w:spacing w:after="40" w:before="40"/>
        <w:ind w:left="360"/>
      </w:pPr>
      <w:r>
        <w:rPr>
          <w:rFonts w:ascii="Calibri" w:hAnsi="Calibri"/>
          <w:sz w:val="22"/>
        </w:rPr>
        <w:t>• Gestion Pecuaria</w:t>
      </w:r>
    </w:p>
    <w:p>
      <w:pPr>
        <w:spacing w:after="40" w:before="40"/>
        <w:ind w:left="360"/>
      </w:pPr>
      <w:r>
        <w:rPr>
          <w:rFonts w:ascii="Calibri" w:hAnsi="Calibri"/>
          <w:sz w:val="22"/>
        </w:rPr>
        <w:t>• Universidad Central del Ecuador / UCLouvain</w:t>
      </w:r>
    </w:p>
    <w:p>
      <w:pPr>
        <w:spacing w:after="40" w:before="40"/>
        <w:ind w:left="360"/>
      </w:pPr>
      <w:r>
        <w:rPr>
          <w:rFonts w:ascii="Calibri" w:hAnsi="Calibri"/>
          <w:sz w:val="22"/>
        </w:rPr>
        <w:t>• Universidad península de Santa Elena</w:t>
      </w:r>
    </w:p>
    <w:p>
      <w:pPr>
        <w:spacing w:after="40" w:before="40"/>
        <w:ind w:left="360"/>
      </w:pPr>
      <w:r>
        <w:rPr>
          <w:rFonts w:ascii="Calibri" w:hAnsi="Calibri"/>
          <w:sz w:val="22"/>
        </w:rPr>
        <w:t>• Ucacue</w:t>
      </w:r>
    </w:p>
    <w:p>
      <w:pPr>
        <w:spacing w:after="40" w:before="40"/>
        <w:ind w:left="360"/>
      </w:pPr>
      <w:r>
        <w:rPr>
          <w:rFonts w:ascii="Calibri" w:hAnsi="Calibri"/>
          <w:sz w:val="22"/>
        </w:rPr>
        <w:t>• Universidad Técnica De Cotopaxi</w:t>
      </w:r>
    </w:p>
    <w:p>
      <w:pPr>
        <w:spacing w:after="40" w:before="40"/>
        <w:ind w:left="360"/>
      </w:pPr>
      <w:r>
        <w:rPr>
          <w:rFonts w:ascii="Calibri" w:hAnsi="Calibri"/>
          <w:sz w:val="22"/>
        </w:rPr>
        <w:t>• Clafem, fao, cepic</w:t>
      </w:r>
    </w:p>
    <w:p>
      <w:pPr>
        <w:spacing w:after="40" w:before="40"/>
        <w:ind w:left="360"/>
      </w:pPr>
      <w:r>
        <w:rPr>
          <w:rFonts w:ascii="Calibri" w:hAnsi="Calibri"/>
          <w:sz w:val="22"/>
        </w:rPr>
        <w:t>• Ministerio de agricultura ganadería y pesca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20.00% (1 personas) recibió apoyo total, el 60.00% (3 personas) indica apoyo parcial, mientras que el 0.00% (0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Trabajo en equipo</w:t>
      </w:r>
    </w:p>
    <w:p>
      <w:pPr>
        <w:spacing w:after="40" w:before="40"/>
        <w:ind w:left="360"/>
      </w:pPr>
      <w:r>
        <w:rPr>
          <w:rFonts w:ascii="Calibri" w:hAnsi="Calibri"/>
          <w:sz w:val="22"/>
        </w:rPr>
        <w:t>• Gestión y administración pública</w:t>
      </w:r>
    </w:p>
    <w:p>
      <w:pPr>
        <w:spacing w:after="40" w:before="40"/>
        <w:ind w:left="360"/>
      </w:pPr>
      <w:r>
        <w:rPr>
          <w:rFonts w:ascii="Calibri" w:hAnsi="Calibri"/>
          <w:sz w:val="22"/>
        </w:rPr>
        <w:t>• Nuevas tecnologías</w:t>
      </w:r>
    </w:p>
    <w:p>
      <w:pPr>
        <w:spacing w:after="40" w:before="40"/>
        <w:ind w:left="360"/>
      </w:pPr>
      <w:r>
        <w:rPr>
          <w:rFonts w:ascii="Calibri" w:hAnsi="Calibri"/>
          <w:sz w:val="22"/>
        </w:rPr>
        <w:t>• Clínica, Cirugia</w:t>
      </w:r>
    </w:p>
    <w:p>
      <w:pPr>
        <w:spacing w:after="40" w:before="40"/>
        <w:ind w:left="360"/>
      </w:pPr>
      <w:r>
        <w:rPr>
          <w:rFonts w:ascii="Calibri" w:hAnsi="Calibri"/>
          <w:sz w:val="22"/>
        </w:rPr>
        <w:t>• Investigación</w:t>
      </w:r>
    </w:p>
    <w:p>
      <w:pPr>
        <w:spacing w:after="40" w:before="40"/>
        <w:ind w:left="360"/>
      </w:pPr>
      <w:r>
        <w:rPr>
          <w:rFonts w:ascii="Calibri" w:hAnsi="Calibri"/>
          <w:sz w:val="22"/>
        </w:rPr>
        <w:t>• Finanzas</w:t>
      </w:r>
    </w:p>
    <w:p>
      <w:pPr>
        <w:spacing w:after="40" w:before="40"/>
        <w:ind w:left="360"/>
      </w:pPr>
      <w:r>
        <w:rPr>
          <w:rFonts w:ascii="Calibri" w:hAnsi="Calibri"/>
          <w:sz w:val="22"/>
        </w:rPr>
        <w:t>• Toma de decisiones</w:t>
      </w:r>
    </w:p>
    <w:p>
      <w:pPr>
        <w:spacing w:after="40" w:before="40"/>
        <w:ind w:left="360"/>
      </w:pPr>
      <w:r>
        <w:rPr>
          <w:rFonts w:ascii="Calibri" w:hAnsi="Calibri"/>
          <w:sz w:val="22"/>
        </w:rPr>
        <w:t>• Traumatología, Ortopedia</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Trabajo en equipo</w:t>
      </w:r>
    </w:p>
    <w:p>
      <w:pPr>
        <w:spacing w:after="40" w:before="40"/>
        <w:ind w:left="360"/>
      </w:pPr>
      <w:r>
        <w:rPr>
          <w:rFonts w:ascii="Calibri" w:hAnsi="Calibri"/>
          <w:sz w:val="22"/>
        </w:rPr>
        <w:t>• Gestión y administración pública</w:t>
      </w:r>
    </w:p>
    <w:p>
      <w:pPr>
        <w:spacing w:after="40" w:before="40"/>
        <w:ind w:left="360"/>
      </w:pPr>
      <w:r>
        <w:rPr>
          <w:rFonts w:ascii="Calibri" w:hAnsi="Calibri"/>
          <w:sz w:val="22"/>
        </w:rPr>
        <w:t>• Nuevas tecnologías</w:t>
      </w:r>
    </w:p>
    <w:p>
      <w:pPr>
        <w:spacing w:after="40" w:before="40"/>
        <w:ind w:left="360"/>
      </w:pPr>
      <w:r>
        <w:rPr>
          <w:rFonts w:ascii="Calibri" w:hAnsi="Calibri"/>
          <w:sz w:val="22"/>
        </w:rPr>
        <w:t>• Clínica, Cirugia</w:t>
      </w:r>
    </w:p>
    <w:p>
      <w:pPr>
        <w:spacing w:after="40" w:before="40"/>
        <w:ind w:left="360"/>
      </w:pPr>
      <w:r>
        <w:rPr>
          <w:rFonts w:ascii="Calibri" w:hAnsi="Calibri"/>
          <w:sz w:val="22"/>
        </w:rPr>
        <w:t>• Investigación</w:t>
      </w:r>
    </w:p>
    <w:p>
      <w:pPr>
        <w:spacing w:after="40" w:before="40"/>
        <w:ind w:left="360"/>
      </w:pPr>
      <w:r>
        <w:rPr>
          <w:rFonts w:ascii="Calibri" w:hAnsi="Calibri"/>
          <w:sz w:val="22"/>
        </w:rPr>
        <w:t>• Finanzas</w:t>
      </w:r>
    </w:p>
    <w:p>
      <w:pPr>
        <w:spacing w:after="40" w:before="40"/>
        <w:ind w:left="360"/>
      </w:pPr>
      <w:r>
        <w:rPr>
          <w:rFonts w:ascii="Calibri" w:hAnsi="Calibri"/>
          <w:sz w:val="22"/>
        </w:rPr>
        <w:t>• Toma de decisiones</w:t>
      </w:r>
    </w:p>
    <w:p>
      <w:pPr>
        <w:spacing w:after="40" w:before="40"/>
        <w:ind w:left="360"/>
      </w:pPr>
      <w:r>
        <w:rPr>
          <w:rFonts w:ascii="Calibri" w:hAnsi="Calibri"/>
          <w:sz w:val="22"/>
        </w:rPr>
        <w:t>• Traumatología, Ortopedia</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C3197C">
        <w:rPr/>
        <w:fldChar w:fldCharType="begin"/>
      </w:r>
      <w:r w:rsidR="00C3197C">
        <w:rPr/>
        <w:instrText xml:space="preserve"> SEQ Tabla \* ARABIC </w:instrText>
      </w:r>
      <w:r w:rsidR="00C3197C">
        <w:rPr/>
        <w:fldChar w:fldCharType="separate"/>
      </w:r>
      <w:r>
        <w:rPr>
          <w:noProof/>
        </w:rPr>
        <w:t>11</w:t>
      </w:r>
      <w:r w:rsidR="00C3197C">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53,33%</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26,67%</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5 empleadores consultados, el 20.00% (1 empleadores) considera que la demanda es Alta, y el 60.00%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Existe una dependencia marcada del sector público para la absor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Fortalecer las prácticas pre-profesionales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C3197C">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(Puede colocar en este espacio el link de acceso a estas evidencias o enviarlas en formato pdf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6D3BCDFB" w14:textId="0446EB02" w:rsidR="00F55DAD" w:rsidRDefault="00F55DAD"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p>
                  <w:p w14:paraId="37AC346D" w14:textId="5BFB8AC1" w:rsidR="00F55DAD" w:rsidRDefault="00E52631" w:rsidP="00376A73">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Sanidad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197C"/>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3264DED-3B0D-40B3-B1EB-6FC018C5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2551</TotalTime>
  <Pages>30</Pages>
  <Words>7721</Words>
  <Characters>42471</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328</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