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4984AF6D"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EN PEDAGOGÍA DEL INGLÉS COMO LENGUA EXTRANJERA</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2E108405" w:rsidR="009521C1" w:rsidRDefault="000A1C00"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0A1C00">
        <w:rPr>
          <w:rFonts w:ascii="Tahoma" w:eastAsia="Tahoma" w:hAnsi="Tahoma" w:cs="Tahoma"/>
          <w:color w:val="000000"/>
        </w:rPr>
        <w:t>PhD. Miriam Troya Sánchez</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6C3849">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6C3849">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6C3849">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6C3849">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6C3849">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6C3849">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6C3849">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B0B876E" w:rsidR="00960258" w:rsidRPr="00652C9B" w:rsidRDefault="007142A1">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w:t>
            </w:r>
            <w:r w:rsidR="000A1C00">
              <w:rPr>
                <w:rFonts w:ascii="Arial" w:eastAsia="Tahoma" w:hAnsi="Arial" w:cs="Arial"/>
                <w:b/>
                <w:color w:val="000000"/>
              </w:rPr>
              <w:t>EN PEDAGOGÍA DEL INGLÉS COMO LENGUA EXTRANJERA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0</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594987B7" w:rsidR="00960258" w:rsidRPr="00652C9B" w:rsidRDefault="006C3849"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C3849">
              <w:rPr>
                <w:rFonts w:ascii="Arial" w:eastAsia="Tahoma" w:hAnsi="Arial" w:cs="Arial"/>
                <w:color w:val="000000"/>
              </w:rPr>
              <w:t>PhD. Miriam Troya Sánchez.</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31C0D060"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0A1C00">
        <w:rPr>
          <w:rFonts w:ascii="Arial" w:eastAsia="Tahoma" w:hAnsi="Arial" w:cs="Arial"/>
          <w:color w:val="000000"/>
        </w:rPr>
        <w:t>Maestría en Pedagogía del Inglés como Lengua Extranjera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17392D8E"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20.</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5A74AA75"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0A1C00">
        <w:rPr>
          <w:rFonts w:ascii="Arial" w:eastAsia="Tahoma" w:hAnsi="Arial" w:cs="Arial"/>
          <w:color w:val="000000"/>
        </w:rPr>
        <w:t>Maestría en Pedagogía del Inglés como Lengua Extranjera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0A1C00">
        <w:rPr>
          <w:rFonts w:ascii="Arial" w:eastAsia="Tahoma" w:hAnsi="Arial" w:cs="Arial"/>
          <w:b/>
          <w:color w:val="000000"/>
        </w:rPr>
        <w:t>22</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55022CB"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0,5*0,5*24</m:t>
                  </m:r>
                </m:num>
                <m:den>
                  <m:d>
                    <m:dPr>
                      <m:ctrlPr>
                        <w:rPr>
                          <w:rFonts w:ascii="Cambria Math" w:eastAsia="Cambria Math" w:hAnsi="Cambria Math" w:cs="Arial"/>
                        </w:rPr>
                      </m:ctrlPr>
                    </m:dPr>
                    <m:e>
                      <m:r>
                        <w:rPr>
                          <w:rFonts w:ascii="Cambria Math" w:eastAsia="Cambria Math" w:hAnsi="Cambria Math" w:cs="Arial"/>
                        </w:rPr>
                        <m:t>24-1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0ECE85AF"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0A1C00">
              <w:rPr>
                <w:rFonts w:ascii="Arial" w:eastAsia="Arial" w:hAnsi="Arial" w:cs="Arial"/>
                <w:highlight w:val="yellow"/>
              </w:rPr>
              <w:t>22</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5F2D5CE2" w14:textId="77777777" w:rsidR="000E2972" w:rsidRDefault="000E2972" w:rsidP="000E2972">
      <w:pPr>
        <w:spacing w:before="240" w:after="240"/>
        <w:ind w:firstLine="360"/>
        <w:jc w:val="both"/>
        <w:rPr>
          <w:rFonts w:ascii="Tahoma" w:eastAsia="Tahoma" w:hAnsi="Tahoma" w:cs="Tahoma"/>
          <w:color w:val="000000"/>
          <w:sz w:val="20"/>
          <w:szCs w:val="20"/>
        </w:rPr>
      </w:pPr>
      <w:r>
        <w:rPr>
          <w:rFonts w:ascii="Tahoma" w:eastAsia="Tahoma" w:hAnsi="Tahoma" w:cs="Tahoma"/>
          <w:color w:val="000000"/>
          <w:sz w:val="20"/>
          <w:szCs w:val="20"/>
        </w:rPr>
        <w:t>Por lo que se realizó una disminución del tamaño de la muestra, aplicando la siguiente fórmula:</w:t>
      </w:r>
    </w:p>
    <w:tbl>
      <w:tblPr>
        <w:tblW w:w="7857" w:type="dxa"/>
        <w:tblInd w:w="421" w:type="dxa"/>
        <w:tblBorders>
          <w:top w:val="nil"/>
          <w:left w:val="nil"/>
          <w:bottom w:val="nil"/>
          <w:right w:val="nil"/>
          <w:insideH w:val="nil"/>
          <w:insideV w:val="nil"/>
        </w:tblBorders>
        <w:tblLayout w:type="fixed"/>
        <w:tblLook w:val="0000" w:firstRow="0" w:lastRow="0" w:firstColumn="0" w:lastColumn="0" w:noHBand="0" w:noVBand="0"/>
      </w:tblPr>
      <w:tblGrid>
        <w:gridCol w:w="2727"/>
        <w:gridCol w:w="5130"/>
      </w:tblGrid>
      <w:tr w:rsidR="000E2972" w14:paraId="34C23EA0" w14:textId="77777777" w:rsidTr="00E919C2">
        <w:trPr>
          <w:trHeight w:val="1456"/>
        </w:trPr>
        <w:tc>
          <w:tcPr>
            <w:tcW w:w="2727" w:type="dxa"/>
            <w:tcBorders>
              <w:top w:val="nil"/>
              <w:left w:val="nil"/>
              <w:bottom w:val="nil"/>
              <w:right w:val="nil"/>
            </w:tcBorders>
            <w:tcMar>
              <w:top w:w="0" w:type="dxa"/>
              <w:left w:w="108" w:type="dxa"/>
              <w:bottom w:w="0" w:type="dxa"/>
              <w:right w:w="108" w:type="dxa"/>
            </w:tcMar>
          </w:tcPr>
          <w:p w14:paraId="6A512C8E" w14:textId="77777777" w:rsidR="000E2972" w:rsidRDefault="000E2972" w:rsidP="00E919C2">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n1≥</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n . N</m:t>
                    </m:r>
                  </m:num>
                  <m:den>
                    <m:r>
                      <w:rPr>
                        <w:rFonts w:ascii="Cambria Math" w:eastAsia="Cambria Math" w:hAnsi="Cambria Math" w:cs="Cambria Math"/>
                        <w:color w:val="000000"/>
                        <w:sz w:val="28"/>
                        <w:szCs w:val="28"/>
                      </w:rPr>
                      <m:t>n+N</m:t>
                    </m:r>
                  </m:den>
                </m:f>
              </m:oMath>
            </m:oMathPara>
          </w:p>
          <w:p w14:paraId="4727375A" w14:textId="2B4C622D" w:rsidR="000E2972" w:rsidRDefault="000E2972" w:rsidP="00E919C2">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n1=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22*24</m:t>
                    </m:r>
                  </m:num>
                  <m:den>
                    <m:r>
                      <w:rPr>
                        <w:rFonts w:ascii="Cambria Math" w:eastAsia="Cambria Math" w:hAnsi="Cambria Math" w:cs="Cambria Math"/>
                        <w:color w:val="000000"/>
                        <w:sz w:val="28"/>
                        <w:szCs w:val="28"/>
                      </w:rPr>
                      <m:t>22+24</m:t>
                    </m:r>
                  </m:den>
                </m:f>
                <m:r>
                  <w:rPr>
                    <w:rFonts w:ascii="Cambria Math" w:eastAsia="Cambria Math" w:hAnsi="Cambria Math" w:cs="Cambria Math"/>
                    <w:color w:val="000000"/>
                    <w:sz w:val="28"/>
                    <w:szCs w:val="28"/>
                  </w:rPr>
                  <m:t>=12</m:t>
                </m:r>
              </m:oMath>
            </m:oMathPara>
          </w:p>
        </w:tc>
        <w:tc>
          <w:tcPr>
            <w:tcW w:w="5130" w:type="dxa"/>
            <w:tcBorders>
              <w:top w:val="nil"/>
              <w:left w:val="nil"/>
              <w:bottom w:val="nil"/>
              <w:right w:val="nil"/>
            </w:tcBorders>
            <w:tcMar>
              <w:top w:w="0" w:type="dxa"/>
              <w:left w:w="108" w:type="dxa"/>
              <w:bottom w:w="0" w:type="dxa"/>
              <w:right w:w="108" w:type="dxa"/>
            </w:tcMar>
          </w:tcPr>
          <w:p w14:paraId="46834386" w14:textId="77777777" w:rsidR="000E2972" w:rsidRDefault="000E2972" w:rsidP="00E919C2">
            <w:pPr>
              <w:spacing w:before="0" w:after="0"/>
              <w:ind w:right="-8"/>
              <w:jc w:val="left"/>
              <w:rPr>
                <w:rFonts w:ascii="Tahoma" w:eastAsia="Tahoma" w:hAnsi="Tahoma" w:cs="Tahoma"/>
                <w:color w:val="000000"/>
                <w:sz w:val="20"/>
                <w:szCs w:val="20"/>
              </w:rPr>
            </w:pPr>
            <w:r>
              <w:rPr>
                <w:rFonts w:ascii="Tahoma" w:eastAsia="Tahoma" w:hAnsi="Tahoma" w:cs="Tahoma"/>
                <w:color w:val="000000"/>
                <w:sz w:val="18"/>
                <w:szCs w:val="18"/>
              </w:rPr>
              <w:t>Donde, n1 es el nuevo tamaño de la muestra, N es el tamaño de la población; n es el tamaño previo de la muestra.</w:t>
            </w:r>
          </w:p>
        </w:tc>
      </w:tr>
    </w:tbl>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79C53F55"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9842BE">
        <w:rPr>
          <w:rFonts w:ascii="Arial" w:eastAsia="Tahoma" w:hAnsi="Arial" w:cs="Arial"/>
          <w:b/>
          <w:color w:val="000000"/>
        </w:rPr>
        <w:t>20</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6C3849">
        <w:rPr/>
        <w:fldChar w:fldCharType="begin"/>
      </w:r>
      <w:r w:rsidR="006C3849">
        <w:rPr/>
        <w:instrText xml:space="preserve"> SEQ Tabla \* ARABIC </w:instrText>
      </w:r>
      <w:r w:rsidR="006C3849">
        <w:rPr/>
        <w:fldChar w:fldCharType="separate"/>
      </w:r>
      <w:r w:rsidR="005D60C3">
        <w:rPr>
          <w:noProof/>
        </w:rPr>
        <w:t>1</w:t>
      </w:r>
      <w:r w:rsidR="006C3849">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20 maestrantes, con una marcada predominancia femenina (70.00%) frente a un 30.00% de hombres. El 60.00% son solteros y los rangos de edad predominantes se sitúan entre los 26 y 35 años (45.00%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6C3849">
        <w:rPr/>
        <w:fldChar w:fldCharType="begin"/>
      </w:r>
      <w:r w:rsidR="006C3849">
        <w:rPr/>
        <w:instrText xml:space="preserve"> SEQ Tabla \* ARABIC </w:instrText>
      </w:r>
      <w:r w:rsidR="006C3849">
        <w:rPr/>
        <w:fldChar w:fldCharType="separate"/>
      </w:r>
      <w:r w:rsidR="005D60C3">
        <w:rPr>
          <w:noProof/>
        </w:rPr>
        <w:t>2</w:t>
      </w:r>
      <w:r w:rsidR="006C3849">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6</w:t>
            </w:r>
          </w:p>
        </w:tc>
        <w:tc>
          <w:tcPr>
            <w:tcW w:w="945" w:type="pct"/>
            <w:noWrap/>
            <w:hideMark/>
          </w:tcPr>
          <w:p>
            <w:pPr>
              <w:spacing w:before="0" w:after="0"/>
              <w:jc w:val="center"/>
            </w:pPr>
            <w:r>
              <w:t>30,00%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14</w:t>
            </w:r>
          </w:p>
        </w:tc>
        <w:tc>
          <w:tcPr>
            <w:tcW w:w="945" w:type="pct"/>
            <w:noWrap/>
            <w:hideMark/>
          </w:tcPr>
          <w:p>
            <w:pPr>
              <w:spacing w:before="0" w:after="0"/>
              <w:jc w:val="center"/>
            </w:pPr>
            <w:r>
              <w:t>70,00%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12</w:t>
            </w:r>
          </w:p>
        </w:tc>
        <w:tc>
          <w:tcPr>
            <w:tcW w:w="945" w:type="pct"/>
            <w:noWrap/>
            <w:hideMark/>
          </w:tcPr>
          <w:p>
            <w:pPr>
              <w:spacing w:before="0" w:after="0"/>
              <w:jc w:val="center"/>
            </w:pPr>
            <w:r>
              <w:t>60,00%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7</w:t>
            </w:r>
          </w:p>
        </w:tc>
        <w:tc>
          <w:tcPr>
            <w:tcW w:w="945" w:type="pct"/>
            <w:noWrap/>
            <w:hideMark/>
          </w:tcPr>
          <w:p>
            <w:pPr>
              <w:spacing w:before="0" w:after="0"/>
              <w:jc w:val="center"/>
            </w:pPr>
            <w:r>
              <w:t>35,00%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5</w:t>
            </w:r>
          </w:p>
        </w:tc>
        <w:tc>
          <w:tcPr>
            <w:tcW w:w="945" w:type="pct"/>
            <w:noWrap/>
            <w:hideMark/>
          </w:tcPr>
          <w:p>
            <w:pPr>
              <w:spacing w:before="0" w:after="0"/>
              <w:jc w:val="center"/>
            </w:pPr>
            <w:r>
              <w:t>25,00%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6</w:t>
            </w:r>
          </w:p>
        </w:tc>
        <w:tc>
          <w:tcPr>
            <w:tcW w:w="945" w:type="pct"/>
            <w:noWrap/>
            <w:hideMark/>
          </w:tcPr>
          <w:p>
            <w:pPr>
              <w:spacing w:before="0" w:after="0"/>
              <w:jc w:val="center"/>
            </w:pPr>
            <w:r>
              <w:t>30,00%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3</w:t>
            </w:r>
          </w:p>
        </w:tc>
        <w:tc>
          <w:tcPr>
            <w:tcW w:w="945" w:type="pct"/>
            <w:noWrap/>
            <w:hideMark/>
          </w:tcPr>
          <w:p>
            <w:pPr>
              <w:spacing w:before="0" w:after="0"/>
              <w:jc w:val="center"/>
            </w:pPr>
            <w:r>
              <w:t>15,00%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3</w:t>
            </w:r>
          </w:p>
        </w:tc>
        <w:tc>
          <w:tcPr>
            <w:tcW w:w="945" w:type="pct"/>
            <w:noWrap/>
            <w:hideMark/>
          </w:tcPr>
          <w:p>
            <w:pPr>
              <w:spacing w:before="0" w:after="0"/>
              <w:jc w:val="center"/>
            </w:pPr>
            <w:r>
              <w:t>15,00%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3</w:t>
            </w:r>
          </w:p>
        </w:tc>
        <w:tc>
          <w:tcPr>
            <w:tcW w:w="945" w:type="pct"/>
            <w:noWrap/>
            <w:hideMark/>
          </w:tcPr>
          <w:p>
            <w:pPr>
              <w:spacing w:before="0" w:after="0"/>
              <w:jc w:val="center"/>
            </w:pPr>
            <w:r>
              <w:t>15,00%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FBAB5E3" w14:textId="5D73FF6A" w:rsidR="000A1C00" w:rsidRPr="000A1C00" w:rsidRDefault="000A1C00" w:rsidP="000A1C00">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Pr>
          <w:rFonts w:ascii="Arial" w:eastAsia="Tahoma" w:hAnsi="Arial" w:cs="Arial"/>
          <w:color w:val="000000"/>
        </w:rPr>
        <w:t xml:space="preserve">Asesora, </w:t>
      </w:r>
      <w:r w:rsidRPr="000A1C00">
        <w:rPr>
          <w:rFonts w:ascii="Arial" w:eastAsia="Tahoma" w:hAnsi="Arial" w:cs="Arial"/>
          <w:color w:val="000000"/>
        </w:rPr>
        <w:t xml:space="preserve">diseña, ejecuta y evalúa procesos didácticos para la enseñanza del idioma </w:t>
      </w:r>
      <w:proofErr w:type="gramStart"/>
      <w:r w:rsidRPr="000A1C00">
        <w:rPr>
          <w:rFonts w:ascii="Arial" w:eastAsia="Tahoma" w:hAnsi="Arial" w:cs="Arial"/>
          <w:color w:val="000000"/>
        </w:rPr>
        <w:t>Inglés</w:t>
      </w:r>
      <w:proofErr w:type="gramEnd"/>
      <w:r w:rsidRPr="000A1C00">
        <w:rPr>
          <w:rFonts w:ascii="Arial" w:eastAsia="Tahoma" w:hAnsi="Arial" w:cs="Arial"/>
          <w:color w:val="000000"/>
        </w:rPr>
        <w:t xml:space="preserve"> como Lengua Extranjera fundamentados en metodologías dinámicas e innovadoras, el uso de tecnologías de la información y la comunicación, y el uso de materiales y recursos didácticos efectivos.</w:t>
      </w:r>
    </w:p>
    <w:p w14:paraId="08E08336" w14:textId="77777777" w:rsidR="000A1C00" w:rsidRPr="000A1C00" w:rsidRDefault="000A1C00" w:rsidP="000A1C00">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A1C00">
        <w:rPr>
          <w:rFonts w:ascii="Arial" w:eastAsia="Tahoma" w:hAnsi="Arial" w:cs="Arial"/>
          <w:color w:val="000000"/>
        </w:rPr>
        <w:t xml:space="preserve">Diseña, aplica y valida estrategias, técnicas e instrumentos para la evaluación de las competencias lingüísticas del idioma </w:t>
      </w:r>
      <w:proofErr w:type="gramStart"/>
      <w:r w:rsidRPr="000A1C00">
        <w:rPr>
          <w:rFonts w:ascii="Arial" w:eastAsia="Tahoma" w:hAnsi="Arial" w:cs="Arial"/>
          <w:color w:val="000000"/>
        </w:rPr>
        <w:t>Inglés</w:t>
      </w:r>
      <w:proofErr w:type="gramEnd"/>
      <w:r w:rsidRPr="000A1C00">
        <w:rPr>
          <w:rFonts w:ascii="Arial" w:eastAsia="Tahoma" w:hAnsi="Arial" w:cs="Arial"/>
          <w:color w:val="000000"/>
        </w:rPr>
        <w:t xml:space="preserve"> como lengua extranjera, en correspondencia con los aprendizajes y competencias comunicativas  a desarrollar.</w:t>
      </w:r>
    </w:p>
    <w:p w14:paraId="62F4FC7B" w14:textId="28166C82" w:rsidR="00E03B49" w:rsidRPr="00292913" w:rsidRDefault="000A1C00" w:rsidP="000A1C00">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A1C00">
        <w:rPr>
          <w:rFonts w:ascii="Arial" w:eastAsia="Tahoma" w:hAnsi="Arial" w:cs="Arial"/>
          <w:color w:val="000000"/>
        </w:rPr>
        <w:t xml:space="preserve">Asesora e implementa proyectos de investigación sobre la enseñanza-aprendizaje del idioma </w:t>
      </w:r>
      <w:proofErr w:type="gramStart"/>
      <w:r w:rsidRPr="000A1C00">
        <w:rPr>
          <w:rFonts w:ascii="Arial" w:eastAsia="Tahoma" w:hAnsi="Arial" w:cs="Arial"/>
          <w:color w:val="000000"/>
        </w:rPr>
        <w:t>Inglés</w:t>
      </w:r>
      <w:proofErr w:type="gramEnd"/>
      <w:r w:rsidRPr="000A1C00">
        <w:rPr>
          <w:rFonts w:ascii="Arial" w:eastAsia="Tahoma" w:hAnsi="Arial" w:cs="Arial"/>
          <w:color w:val="000000"/>
        </w:rPr>
        <w:t xml:space="preserve"> como Lengua Extranjera, para incorporar sus hallazgos en la práctica pedagógica</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75.00% de los maestrantes (15 personas) evidencia interés en formarse y actualizarse profesionalmente, mientras que el 25.00% restante (5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3</w:t>
      </w:r>
      <w:r w:rsidR="006C3849">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40,00%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15D7AAD0"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0A1C00">
        <w:rPr>
          <w:rFonts w:ascii="Arial" w:eastAsia="Tahoma" w:hAnsi="Arial" w:cs="Arial"/>
          <w:color w:val="000000"/>
        </w:rPr>
        <w:t>Maestría en Pedagogía del Inglés como Lengua Extranjera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4</w:t>
      </w:r>
      <w:r w:rsidR="006C3849">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0.00% de los empleadores califica al graduado como Muy Bueno, y el 0.00% como Bueno. Adicionalmente, el comportamiento ético y el compromiso institucional se destacan con un 0.00% y 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5</w:t>
      </w:r>
      <w:r w:rsidR="006C3849">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6</w:t>
      </w:r>
      <w:r w:rsidR="006C384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50,00%</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25,00%</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t>Los empleadores consultados no reportaron cargos específicos en los datos disponibles.</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t>Los empleadores consultados no reportaron funciones específicas en los datos disponibles.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7</w:t>
      </w:r>
      <w:r w:rsidR="006C3849">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sidR="005D60C3">
        <w:rPr>
          <w:noProof/>
        </w:rPr>
        <w:t>8</w:t>
      </w:r>
      <w:r w:rsidR="006C3849">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Pr>
          <w:noProof/>
        </w:rPr>
        <w:t>9</w:t>
      </w:r>
      <w:r w:rsidR="006C3849">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50,00%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No se reportaron nombres específicos de emprendimientos formalizados en la cohorte analizada.</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Pr>
          <w:noProof/>
        </w:rPr>
        <w:t>10</w:t>
      </w:r>
      <w:r w:rsidR="006C3849">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70,00%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Ibero ciencias</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Unir</w:t>
      </w:r>
    </w:p>
    <w:p>
      <w:pPr>
        <w:spacing w:after="40" w:before="40"/>
        <w:ind w:left="360"/>
      </w:pPr>
      <w:r>
        <w:rPr>
          <w:rFonts w:ascii="Calibri" w:hAnsi="Calibri"/>
          <w:sz w:val="22"/>
        </w:rPr>
        <w:t>• Puce</w:t>
      </w:r>
    </w:p>
    <w:p>
      <w:pPr>
        <w:spacing w:after="40" w:before="40"/>
        <w:ind w:left="360"/>
      </w:pPr>
      <w:r>
        <w:rPr>
          <w:rFonts w:ascii="Calibri" w:hAnsi="Calibri"/>
          <w:sz w:val="22"/>
        </w:rPr>
        <w:t>• Universidad Casa Grande</w:t>
      </w:r>
    </w:p>
    <w:p>
      <w:pPr>
        <w:spacing w:after="40" w:before="40"/>
        <w:ind w:left="360"/>
      </w:pPr>
      <w:r>
        <w:rPr>
          <w:rFonts w:ascii="Calibri" w:hAnsi="Calibri"/>
          <w:sz w:val="22"/>
        </w:rPr>
        <w:t>• Online Professional English Network (OPEN) beca de la embajada de los Estados Unidos de América</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Ibero ciencias</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Unir</w:t>
      </w:r>
    </w:p>
    <w:p>
      <w:pPr>
        <w:spacing w:after="40" w:before="40"/>
        <w:ind w:left="360"/>
      </w:pPr>
      <w:r>
        <w:rPr>
          <w:rFonts w:ascii="Calibri" w:hAnsi="Calibri"/>
          <w:sz w:val="22"/>
        </w:rPr>
        <w:t>• Puce</w:t>
      </w:r>
    </w:p>
    <w:p>
      <w:pPr>
        <w:spacing w:after="40" w:before="40"/>
        <w:ind w:left="360"/>
      </w:pPr>
      <w:r>
        <w:rPr>
          <w:rFonts w:ascii="Calibri" w:hAnsi="Calibri"/>
          <w:sz w:val="22"/>
        </w:rPr>
        <w:t>• Universidad Casa Grande</w:t>
      </w:r>
    </w:p>
    <w:p>
      <w:pPr>
        <w:spacing w:after="40" w:before="40"/>
        <w:ind w:left="360"/>
      </w:pPr>
      <w:r>
        <w:rPr>
          <w:rFonts w:ascii="Calibri" w:hAnsi="Calibri"/>
          <w:sz w:val="22"/>
        </w:rPr>
        <w:t>• Online Professional English Network (OPEN) beca de la embajada de los Estados Unidos de América</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rPr>
        <w:t>Los</w:t>
      </w:r>
      <w:proofErr w:type="gramStart"/>
      <w:r w:rsidRPr="00772E78">
        <w:rPr>
          <w:rFonts w:ascii="Arial" w:eastAsia="Arial" w:hAnsi="Arial" w:cs="Arial"/>
        </w:rPr>
        <w:t xml:space="preserve"> </w:t>
      </w:r>
      <w:r w:rsidR="00772E78" w:rsidRPr="00772E78">
        <w:rPr>
          <w:rFonts w:ascii="Arial" w:eastAsia="Arial" w:hAnsi="Arial" w:cs="Arial"/>
        </w:rPr>
        <w:t>….</w:t>
      </w:r>
      <w:proofErr w:type="gramEnd"/>
      <w:r w:rsidRPr="00772E78">
        <w:rPr>
          <w:rFonts w:ascii="Arial" w:eastAsia="Arial" w:hAnsi="Arial" w:cs="Arial"/>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t>Los empleadores consultados no registraron sugerencias específicas de capacitación en los datos disponibles.</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6C3849">
        <w:rPr/>
        <w:fldChar w:fldCharType="begin"/>
      </w:r>
      <w:r w:rsidR="006C3849">
        <w:rPr/>
        <w:instrText xml:space="preserve"> SEQ Tabla \* ARABIC </w:instrText>
      </w:r>
      <w:r w:rsidR="006C3849">
        <w:rPr/>
        <w:fldChar w:fldCharType="separate"/>
      </w:r>
      <w:r>
        <w:rPr>
          <w:noProof/>
        </w:rPr>
        <w:t>11</w:t>
      </w:r>
      <w:r w:rsidR="006C3849">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35,00%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50,00%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15,00%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Los 10 empleadores consultados no registraron información cuantificable sobre la percepción de la demanda de profesionales de la carrera en la encuesta aplicada.</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6C3849">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2F384BD3"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en Pedagogía del Inglés como Lengua Extranjera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2F384BD3"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en Pedagogía del Inglés como Lengua Extranjera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983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97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3849"/>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8305"/>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E930BC9-00CB-48A3-A792-956EB418C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2565</TotalTime>
  <Pages>30</Pages>
  <Words>7806</Words>
  <Characters>42938</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334</cp:revision>
  <dcterms:created xsi:type="dcterms:W3CDTF">2023-03-14T17:43:00Z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