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7C775C01"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 xml:space="preserve">EN </w:t>
      </w:r>
      <w:r w:rsidR="00B33A3E">
        <w:rPr>
          <w:rFonts w:ascii="Arial" w:eastAsia="Tahoma" w:hAnsi="Arial" w:cs="Arial"/>
          <w:b/>
          <w:color w:val="000000"/>
        </w:rPr>
        <w:t>EDUCACIÓN ESPECIAL</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344CC45C" w:rsidR="009521C1" w:rsidRDefault="00B33A3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B33A3E">
        <w:rPr>
          <w:rFonts w:ascii="Tahoma" w:eastAsia="Tahoma" w:hAnsi="Tahoma" w:cs="Tahoma"/>
          <w:color w:val="000000"/>
        </w:rPr>
        <w:t xml:space="preserve">Lic. </w:t>
      </w:r>
      <w:proofErr w:type="spellStart"/>
      <w:r w:rsidRPr="00B33A3E">
        <w:rPr>
          <w:rFonts w:ascii="Tahoma" w:eastAsia="Tahoma" w:hAnsi="Tahoma" w:cs="Tahoma"/>
          <w:color w:val="000000"/>
        </w:rPr>
        <w:t>Licet</w:t>
      </w:r>
      <w:proofErr w:type="spellEnd"/>
      <w:r w:rsidRPr="00B33A3E">
        <w:rPr>
          <w:rFonts w:ascii="Tahoma" w:eastAsia="Tahoma" w:hAnsi="Tahoma" w:cs="Tahoma"/>
          <w:color w:val="000000"/>
        </w:rPr>
        <w:t xml:space="preserve"> </w:t>
      </w:r>
      <w:proofErr w:type="spellStart"/>
      <w:r w:rsidRPr="00B33A3E">
        <w:rPr>
          <w:rFonts w:ascii="Tahoma" w:eastAsia="Tahoma" w:hAnsi="Tahoma" w:cs="Tahoma"/>
          <w:color w:val="000000"/>
        </w:rPr>
        <w:t>Jomarrón</w:t>
      </w:r>
      <w:proofErr w:type="spellEnd"/>
      <w:r w:rsidRPr="00B33A3E">
        <w:rPr>
          <w:rFonts w:ascii="Tahoma" w:eastAsia="Tahoma" w:hAnsi="Tahoma" w:cs="Tahoma"/>
          <w:color w:val="000000"/>
        </w:rPr>
        <w:t xml:space="preserve"> Moreira Mg Sc</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F6282B">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F6282B">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F6282B">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F6282B">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79458D7C" w:rsidR="00960258" w:rsidRPr="00652C9B" w:rsidRDefault="00D00969">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MAESTRÍA EN EDUCACIÓN ESPECIAL</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25</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25</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6</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134BF0BA" w:rsidR="00960258" w:rsidRPr="00652C9B" w:rsidRDefault="00F6282B"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6282B">
              <w:rPr>
                <w:rFonts w:ascii="Arial" w:eastAsia="Tahoma" w:hAnsi="Arial" w:cs="Arial"/>
                <w:color w:val="000000"/>
              </w:rPr>
              <w:t xml:space="preserve">Lic. </w:t>
            </w:r>
            <w:proofErr w:type="spellStart"/>
            <w:r w:rsidRPr="00F6282B">
              <w:rPr>
                <w:rFonts w:ascii="Arial" w:eastAsia="Tahoma" w:hAnsi="Arial" w:cs="Arial"/>
                <w:color w:val="000000"/>
              </w:rPr>
              <w:t>Licet</w:t>
            </w:r>
            <w:proofErr w:type="spellEnd"/>
            <w:r w:rsidRPr="00F6282B">
              <w:rPr>
                <w:rFonts w:ascii="Arial" w:eastAsia="Tahoma" w:hAnsi="Arial" w:cs="Arial"/>
                <w:color w:val="000000"/>
              </w:rPr>
              <w:t xml:space="preserve"> </w:t>
            </w:r>
            <w:proofErr w:type="spellStart"/>
            <w:r w:rsidRPr="00F6282B">
              <w:rPr>
                <w:rFonts w:ascii="Arial" w:eastAsia="Tahoma" w:hAnsi="Arial" w:cs="Arial"/>
                <w:color w:val="000000"/>
              </w:rPr>
              <w:t>Jomarrón</w:t>
            </w:r>
            <w:proofErr w:type="spellEnd"/>
            <w:r w:rsidRPr="00F6282B">
              <w:rPr>
                <w:rFonts w:ascii="Arial" w:eastAsia="Tahoma" w:hAnsi="Arial" w:cs="Arial"/>
                <w:color w:val="000000"/>
              </w:rPr>
              <w:t xml:space="preserve"> Moreira Mg Sc.</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68D56568"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D00969">
        <w:rPr>
          <w:rFonts w:ascii="Arial" w:eastAsia="Tahoma" w:hAnsi="Arial" w:cs="Arial"/>
          <w:color w:val="000000"/>
        </w:rPr>
        <w:t>Maestría en Educación Especial</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669C9C91"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25.</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D0A16C8"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D00969">
        <w:rPr>
          <w:rFonts w:ascii="Arial" w:eastAsia="Tahoma" w:hAnsi="Arial" w:cs="Arial"/>
          <w:color w:val="000000"/>
        </w:rPr>
        <w:t>Maestría en Educación Especial</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0A1C00">
        <w:rPr>
          <w:rFonts w:ascii="Arial" w:eastAsia="Tahoma" w:hAnsi="Arial" w:cs="Arial"/>
          <w:b/>
          <w:color w:val="000000"/>
        </w:rPr>
        <w:t>2</w:t>
      </w:r>
      <w:r w:rsidR="00D00969">
        <w:rPr>
          <w:rFonts w:ascii="Arial" w:eastAsia="Tahoma" w:hAnsi="Arial" w:cs="Arial"/>
          <w:b/>
          <w:color w:val="000000"/>
        </w:rPr>
        <w:t>5</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0031EE4"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0,5*0,5*28</m:t>
                  </m:r>
                </m:num>
                <m:den>
                  <m:d>
                    <m:dPr>
                      <m:ctrlPr>
                        <w:rPr>
                          <w:rFonts w:ascii="Cambria Math" w:eastAsia="Cambria Math" w:hAnsi="Cambria Math" w:cs="Arial"/>
                        </w:rPr>
                      </m:ctrlPr>
                    </m:dPr>
                    <m:e>
                      <m:r>
                        <w:rPr>
                          <w:rFonts w:ascii="Cambria Math" w:eastAsia="Cambria Math" w:hAnsi="Cambria Math" w:cs="Arial"/>
                        </w:rPr>
                        <m:t>28-1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07B070B1"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0A1C00">
              <w:rPr>
                <w:rFonts w:ascii="Arial" w:eastAsia="Arial" w:hAnsi="Arial" w:cs="Arial"/>
                <w:highlight w:val="yellow"/>
              </w:rPr>
              <w:t>2</w:t>
            </w:r>
            <w:r w:rsidR="00D00969">
              <w:rPr>
                <w:rFonts w:ascii="Arial" w:eastAsia="Arial" w:hAnsi="Arial" w:cs="Arial"/>
                <w:highlight w:val="yellow"/>
              </w:rPr>
              <w:t>5</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2979AD8D"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9842BE">
        <w:rPr>
          <w:rFonts w:ascii="Arial" w:eastAsia="Tahoma" w:hAnsi="Arial" w:cs="Arial"/>
          <w:b/>
          <w:color w:val="000000"/>
        </w:rPr>
        <w:t>2</w:t>
      </w:r>
      <w:r w:rsidR="00D00969">
        <w:rPr>
          <w:rFonts w:ascii="Arial" w:eastAsia="Tahoma" w:hAnsi="Arial" w:cs="Arial"/>
          <w:b/>
          <w:color w:val="000000"/>
        </w:rPr>
        <w:t>5</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F6282B">
        <w:rPr/>
        <w:fldChar w:fldCharType="begin"/>
      </w:r>
      <w:r w:rsidR="00F6282B">
        <w:rPr/>
        <w:instrText xml:space="preserve"> SEQ Tabla \* ARABIC </w:instrText>
      </w:r>
      <w:r w:rsidR="00F6282B">
        <w:rPr/>
        <w:fldChar w:fldCharType="separate"/>
      </w:r>
      <w:r w:rsidR="005D60C3">
        <w:rPr>
          <w:noProof/>
        </w:rPr>
        <w:t>1</w:t>
      </w:r>
      <w:r w:rsidR="00F6282B">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25 maestrantes, con una marcada predominancia femenina (88.00%) frente a un 12.00% de hombres. El 56.00% son solteros y los rangos de edad predominantes se sitúan entre los 26 y 35 años (52.00%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F6282B">
        <w:rPr/>
        <w:fldChar w:fldCharType="begin"/>
      </w:r>
      <w:r w:rsidR="00F6282B">
        <w:rPr/>
        <w:instrText xml:space="preserve"> SEQ Tabla \* ARABIC </w:instrText>
      </w:r>
      <w:r w:rsidR="00F6282B">
        <w:rPr/>
        <w:fldChar w:fldCharType="separate"/>
      </w:r>
      <w:r w:rsidR="005D60C3">
        <w:rPr>
          <w:noProof/>
        </w:rPr>
        <w:t>2</w:t>
      </w:r>
      <w:r w:rsidR="00F6282B">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3</w:t>
            </w:r>
          </w:p>
        </w:tc>
        <w:tc>
          <w:tcPr>
            <w:tcW w:w="945" w:type="pct"/>
            <w:noWrap/>
            <w:hideMark/>
          </w:tcPr>
          <w:p>
            <w:pPr>
              <w:spacing w:before="0" w:after="0"/>
              <w:jc w:val="center"/>
            </w:pPr>
            <w:r>
              <w:t>12,00%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22</w:t>
            </w:r>
          </w:p>
        </w:tc>
        <w:tc>
          <w:tcPr>
            <w:tcW w:w="945" w:type="pct"/>
            <w:noWrap/>
            <w:hideMark/>
          </w:tcPr>
          <w:p>
            <w:pPr>
              <w:spacing w:before="0" w:after="0"/>
              <w:jc w:val="center"/>
            </w:pPr>
            <w:r>
              <w:t>88,00%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14</w:t>
            </w:r>
          </w:p>
        </w:tc>
        <w:tc>
          <w:tcPr>
            <w:tcW w:w="945" w:type="pct"/>
            <w:noWrap/>
            <w:hideMark/>
          </w:tcPr>
          <w:p>
            <w:pPr>
              <w:spacing w:before="0" w:after="0"/>
              <w:jc w:val="center"/>
            </w:pPr>
            <w:r>
              <w:t>56,00%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6</w:t>
            </w:r>
          </w:p>
        </w:tc>
        <w:tc>
          <w:tcPr>
            <w:tcW w:w="945" w:type="pct"/>
            <w:noWrap/>
            <w:hideMark/>
          </w:tcPr>
          <w:p>
            <w:pPr>
              <w:spacing w:before="0" w:after="0"/>
              <w:jc w:val="center"/>
            </w:pPr>
            <w:r>
              <w:t>24,00%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4</w:t>
            </w:r>
          </w:p>
        </w:tc>
        <w:tc>
          <w:tcPr>
            <w:tcW w:w="945" w:type="pct"/>
            <w:noWrap/>
            <w:hideMark/>
          </w:tcPr>
          <w:p>
            <w:pPr>
              <w:spacing w:before="0" w:after="0"/>
              <w:jc w:val="center"/>
            </w:pPr>
            <w:r>
              <w:t>16,00%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4,00%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2</w:t>
            </w:r>
          </w:p>
        </w:tc>
        <w:tc>
          <w:tcPr>
            <w:tcW w:w="945" w:type="pct"/>
            <w:noWrap/>
            <w:hideMark/>
          </w:tcPr>
          <w:p>
            <w:pPr>
              <w:spacing w:before="0" w:after="0"/>
              <w:jc w:val="center"/>
            </w:pPr>
            <w:r>
              <w:t>8,00%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9</w:t>
            </w:r>
          </w:p>
        </w:tc>
        <w:tc>
          <w:tcPr>
            <w:tcW w:w="945" w:type="pct"/>
            <w:noWrap/>
            <w:hideMark/>
          </w:tcPr>
          <w:p>
            <w:pPr>
              <w:spacing w:before="0" w:after="0"/>
              <w:jc w:val="center"/>
            </w:pPr>
            <w:r>
              <w:t>36,00%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4</w:t>
            </w:r>
          </w:p>
        </w:tc>
        <w:tc>
          <w:tcPr>
            <w:tcW w:w="945" w:type="pct"/>
            <w:noWrap/>
            <w:hideMark/>
          </w:tcPr>
          <w:p>
            <w:pPr>
              <w:spacing w:before="0" w:after="0"/>
              <w:jc w:val="center"/>
            </w:pPr>
            <w:r>
              <w:t>16,00%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4</w:t>
            </w:r>
          </w:p>
        </w:tc>
        <w:tc>
          <w:tcPr>
            <w:tcW w:w="945" w:type="pct"/>
            <w:noWrap/>
            <w:hideMark/>
          </w:tcPr>
          <w:p>
            <w:pPr>
              <w:spacing w:before="0" w:after="0"/>
              <w:jc w:val="center"/>
            </w:pPr>
            <w:r>
              <w:t>16,00%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3</w:t>
            </w:r>
          </w:p>
        </w:tc>
        <w:tc>
          <w:tcPr>
            <w:tcW w:w="945" w:type="pct"/>
            <w:noWrap/>
            <w:hideMark/>
          </w:tcPr>
          <w:p>
            <w:pPr>
              <w:spacing w:before="0" w:after="0"/>
              <w:jc w:val="center"/>
            </w:pPr>
            <w:r>
              <w:t>12,00%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3</w:t>
            </w:r>
          </w:p>
        </w:tc>
        <w:tc>
          <w:tcPr>
            <w:tcW w:w="945" w:type="pct"/>
            <w:noWrap/>
            <w:hideMark/>
          </w:tcPr>
          <w:p>
            <w:pPr>
              <w:spacing w:before="0" w:after="0"/>
              <w:jc w:val="center"/>
            </w:pPr>
            <w:r>
              <w:t>12,00%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0CAC1EC0" w14:textId="5418BBC1" w:rsidR="00BA03F4" w:rsidRPr="00BA03F4" w:rsidRDefault="00BA03F4" w:rsidP="00BA03F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 xml:space="preserve">Los </w:t>
      </w:r>
      <w:proofErr w:type="spellStart"/>
      <w:r w:rsidRPr="00BA03F4">
        <w:rPr>
          <w:rFonts w:ascii="Arial" w:eastAsia="Tahoma" w:hAnsi="Arial" w:cs="Arial"/>
          <w:color w:val="000000"/>
        </w:rPr>
        <w:t>posgradistas</w:t>
      </w:r>
      <w:proofErr w:type="spellEnd"/>
      <w:r w:rsidRPr="00BA03F4">
        <w:rPr>
          <w:rFonts w:ascii="Arial" w:eastAsia="Tahoma" w:hAnsi="Arial" w:cs="Arial"/>
          <w:color w:val="000000"/>
        </w:rPr>
        <w:t xml:space="preserve"> de la maestría en Educación Especial podrán desempeñarse en el sector público y privado, ejerciendo su rol profesional en todos los ámbitos y niveles educativos asociados o no a la discapacidad.</w:t>
      </w:r>
    </w:p>
    <w:p w14:paraId="0729D3F9" w14:textId="0193EC0B" w:rsidR="00BA03F4" w:rsidRPr="00BA03F4" w:rsidRDefault="00BA03F4" w:rsidP="00BA03F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Buscamos desarrollar en ti las siguientes competencias:</w:t>
      </w:r>
    </w:p>
    <w:p w14:paraId="6AB5A370" w14:textId="77777777" w:rsidR="00BA03F4" w:rsidRPr="00BA03F4" w:rsidRDefault="00BA03F4" w:rsidP="00BA03F4">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Planifica, ejecuta y asesora actividades de intervención e inclusión que propicien el proceso formativo abierto a la diversidad, con el empleo de adaptaciones curriculares y estrategias de intervención significativas, en los diferentes niveles educacionales y sus contextos.</w:t>
      </w:r>
    </w:p>
    <w:p w14:paraId="62F4FC7B" w14:textId="554BF16D" w:rsidR="00E03B49" w:rsidRPr="00292913" w:rsidRDefault="00BA03F4" w:rsidP="00BA03F4">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Diseña, aplica y evalúa propuestas de intervención educativa sobre la base del currículo ecológico funcional, promoviendo el desarrollo de la autonomía y habilidades de la vida diaria en las personas con discapacidad, para su inclusión familiar, laboral y social.</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88.00% de los maestrantes (22 personas) evidencia interés en formarse y actualizarse profesionalmente, mientras que el 12.00% restante (3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3</w:t>
      </w:r>
      <w:r w:rsidR="00F6282B">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28,00%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28,00%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36,00%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60,00%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Gestión académica</w:t>
      </w:r>
    </w:p>
    <w:p>
      <w:pPr>
        <w:spacing w:after="40" w:before="40"/>
        <w:ind w:left="360"/>
      </w:pPr>
      <w:r>
        <w:rPr>
          <w:rFonts w:ascii="Calibri" w:hAnsi="Calibri"/>
          <w:sz w:val="22"/>
        </w:rPr>
        <w:t>• Tecnicas de enseñanza</w:t>
      </w:r>
    </w:p>
    <w:p>
      <w:pPr>
        <w:spacing w:after="40" w:before="40"/>
        <w:ind w:left="360"/>
      </w:pPr>
      <w:r>
        <w:rPr>
          <w:rFonts w:ascii="Calibri" w:hAnsi="Calibri"/>
          <w:sz w:val="22"/>
        </w:rPr>
        <w:t>• Evaluación</w:t>
      </w:r>
    </w:p>
    <w:p>
      <w:pPr>
        <w:spacing w:after="40" w:before="40"/>
        <w:ind w:left="360"/>
      </w:pPr>
      <w:r>
        <w:rPr>
          <w:rFonts w:ascii="Calibri" w:hAnsi="Calibri"/>
          <w:sz w:val="22"/>
        </w:rPr>
        <w:t>• Herramientas tecnológicas TICS</w:t>
      </w:r>
    </w:p>
    <w:p>
      <w:pPr>
        <w:spacing w:after="40" w:before="40"/>
        <w:ind w:left="360"/>
      </w:pPr>
      <w:r>
        <w:rPr>
          <w:rFonts w:ascii="Calibri" w:hAnsi="Calibri"/>
          <w:sz w:val="22"/>
        </w:rPr>
        <w:t>• Continuar con su formación académica y profesional</w:t>
      </w:r>
    </w:p>
    <w:p>
      <w:pPr>
        <w:spacing w:after="40" w:before="40"/>
        <w:ind w:left="360"/>
      </w:pPr>
      <w:r>
        <w:rPr>
          <w:rFonts w:ascii="Calibri" w:hAnsi="Calibri"/>
          <w:sz w:val="22"/>
        </w:rPr>
        <w:t>• Manejo de conductas desafiantes en alumnos con tea</w:t>
      </w:r>
    </w:p>
    <w:p>
      <w:pPr>
        <w:spacing w:after="40" w:before="40"/>
        <w:ind w:left="360"/>
      </w:pPr>
      <w:r>
        <w:rPr>
          <w:rFonts w:ascii="Calibri" w:hAnsi="Calibri"/>
          <w:sz w:val="22"/>
        </w:rPr>
        <w:t>• Diagnóstico</w:t>
      </w:r>
    </w:p>
    <w:p>
      <w:pPr>
        <w:spacing w:after="40" w:before="40"/>
        <w:ind w:left="360"/>
      </w:pPr>
      <w:r>
        <w:rPr>
          <w:rFonts w:ascii="Calibri" w:hAnsi="Calibri"/>
          <w:sz w:val="22"/>
        </w:rPr>
        <w:t>• Autismo y TDAH</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5FB6AC3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D00969">
        <w:rPr>
          <w:rFonts w:ascii="Arial" w:eastAsia="Tahoma" w:hAnsi="Arial" w:cs="Arial"/>
          <w:color w:val="000000"/>
        </w:rPr>
        <w:t>Maestría en Educación Especial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4</w:t>
      </w:r>
      <w:r w:rsidR="00F6282B">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83.33% de los empleadores califica al graduado como Muy Bueno, y el 16.67%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5</w:t>
      </w:r>
      <w:r w:rsidR="00F6282B">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83,33%</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6</w:t>
      </w:r>
      <w:r w:rsidR="00F6282B">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48,00%</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32,00%</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Dueña y propietaria de la. clínica veterinaria</w:t>
      </w:r>
    </w:p>
    <w:p>
      <w:pPr>
        <w:spacing w:after="40" w:before="40"/>
        <w:ind w:left="360"/>
      </w:pPr>
      <w:r>
        <w:rPr>
          <w:rFonts w:ascii="Calibri" w:hAnsi="Calibri"/>
          <w:sz w:val="22"/>
        </w:rPr>
        <w:t>• Secretaria</w:t>
      </w:r>
    </w:p>
    <w:p>
      <w:pPr>
        <w:spacing w:after="40" w:before="40"/>
        <w:ind w:left="360"/>
      </w:pPr>
      <w:r>
        <w:rPr>
          <w:rFonts w:ascii="Calibri" w:hAnsi="Calibri"/>
          <w:sz w:val="22"/>
        </w:rPr>
        <w:t>• Técnico</w:t>
      </w:r>
    </w:p>
    <w:p>
      <w:pPr>
        <w:spacing w:after="40" w:before="40"/>
        <w:ind w:left="360"/>
      </w:pPr>
      <w:r>
        <w:rPr>
          <w:rFonts w:ascii="Calibri" w:hAnsi="Calibri"/>
          <w:sz w:val="22"/>
        </w:rPr>
        <w:t>• Abogada ejecutora en la jefatura de coactivas municipio de loja</w:t>
      </w:r>
    </w:p>
    <w:p>
      <w:pPr>
        <w:spacing w:after="40" w:before="40"/>
        <w:ind w:left="360"/>
      </w:pPr>
      <w:r>
        <w:rPr>
          <w:rFonts w:ascii="Calibri" w:hAnsi="Calibri"/>
          <w:sz w:val="22"/>
        </w:rPr>
        <w:t>• Médico veterinario en el área de porcinocultura</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Servicio de consultas, emergencias cirugías laboratorio. clínico, marketing</w:t>
      </w:r>
    </w:p>
    <w:p>
      <w:pPr>
        <w:spacing w:after="40" w:before="40"/>
        <w:ind w:left="360"/>
      </w:pPr>
      <w:r>
        <w:rPr>
          <w:rFonts w:ascii="Calibri" w:hAnsi="Calibri"/>
          <w:sz w:val="22"/>
        </w:rPr>
        <w:t>• Manejo de programas para facturacion de productos</w:t>
      </w:r>
    </w:p>
    <w:p>
      <w:pPr>
        <w:spacing w:after="40" w:before="40"/>
        <w:ind w:left="360"/>
      </w:pPr>
      <w:r>
        <w:rPr>
          <w:rFonts w:ascii="Calibri" w:hAnsi="Calibri"/>
          <w:sz w:val="22"/>
        </w:rPr>
        <w:t>• Geólogo - mineros</w:t>
      </w:r>
    </w:p>
    <w:p>
      <w:pPr>
        <w:spacing w:after="40" w:before="40"/>
        <w:ind w:left="360"/>
      </w:pPr>
      <w:r>
        <w:rPr>
          <w:rFonts w:ascii="Calibri" w:hAnsi="Calibri"/>
          <w:sz w:val="22"/>
        </w:rPr>
        <w:t>• La abogada cumple con la función de ejecutora dentro de la fase de ejecución coactiva, impulsa los procesos coactivos hasta llegar a la fase de remate.</w:t>
      </w:r>
    </w:p>
    <w:p>
      <w:pPr>
        <w:spacing w:after="40" w:before="40"/>
        <w:ind w:left="360"/>
      </w:pPr>
      <w:r>
        <w:rPr>
          <w:rFonts w:ascii="Calibri" w:hAnsi="Calibri"/>
          <w:sz w:val="22"/>
        </w:rPr>
        <w:t>• Área de salud y técnico</w:t>
      </w:r>
    </w:p>
    <w:p>
      <w:pPr>
        <w:spacing w:after="40" w:before="40"/>
        <w:ind w:left="360"/>
      </w:pPr>
      <w:r>
        <w:rPr>
          <w:rFonts w:ascii="Calibri" w:hAnsi="Calibri"/>
          <w:sz w:val="22"/>
        </w:rPr>
        <w:t>• Bb</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7</w:t>
      </w:r>
      <w:r w:rsidR="00F6282B">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sidR="005D60C3">
        <w:rPr>
          <w:noProof/>
        </w:rPr>
        <w:t>8</w:t>
      </w:r>
      <w:r w:rsidR="00F6282B">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6</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5</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83,33%</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5</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83,33%</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33,33%</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4</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66,67%</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Pr>
          <w:noProof/>
        </w:rPr>
        <w:t>9</w:t>
      </w:r>
      <w:r w:rsidR="00F6282B">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48,00%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32,00%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"Centro Vive Terapia Integral SAS",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Pr>
          <w:noProof/>
        </w:rPr>
        <w:t>10</w:t>
      </w:r>
      <w:r w:rsidR="00F6282B">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16,00%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8,00%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8,00%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72,00%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Minedec</w:t>
      </w:r>
    </w:p>
    <w:p>
      <w:pPr>
        <w:spacing w:after="40" w:before="40"/>
        <w:ind w:left="360"/>
      </w:pPr>
      <w:r>
        <w:rPr>
          <w:rFonts w:ascii="Calibri" w:hAnsi="Calibri"/>
          <w:sz w:val="22"/>
        </w:rPr>
        <w:t>• Universidad de los Hemisferios</w:t>
      </w:r>
    </w:p>
    <w:p>
      <w:pPr>
        <w:spacing w:after="40" w:before="40"/>
        <w:ind w:left="360"/>
      </w:pPr>
      <w:r>
        <w:rPr>
          <w:rFonts w:ascii="Calibri" w:hAnsi="Calibri"/>
          <w:sz w:val="22"/>
        </w:rPr>
        <w:t>• Fundaciones, GADS, Programas</w:t>
      </w:r>
    </w:p>
    <w:p>
      <w:pPr>
        <w:spacing w:after="40" w:before="40"/>
        <w:ind w:left="360"/>
      </w:pPr>
      <w:r>
        <w:rPr>
          <w:rFonts w:ascii="Calibri" w:hAnsi="Calibri"/>
          <w:sz w:val="22"/>
        </w:rPr>
        <w:t>• Instituto Raimon Gaja</w:t>
      </w:r>
    </w:p>
    <w:p>
      <w:pPr>
        <w:spacing w:after="40" w:before="40"/>
        <w:ind w:left="360"/>
      </w:pPr>
      <w:r>
        <w:rPr>
          <w:rFonts w:ascii="Calibri" w:hAnsi="Calibri"/>
          <w:sz w:val="22"/>
        </w:rPr>
        <w:t>• Orgaepsi</w:t>
      </w:r>
    </w:p>
    <w:p>
      <w:pPr>
        <w:spacing w:after="40" w:before="40"/>
        <w:ind w:left="360"/>
      </w:pPr>
      <w:r>
        <w:rPr>
          <w:rFonts w:ascii="Calibri" w:hAnsi="Calibri"/>
          <w:sz w:val="22"/>
        </w:rPr>
        <w:t>• Idea consulting</w:t>
      </w:r>
    </w:p>
    <w:p>
      <w:pPr>
        <w:spacing w:after="40" w:before="40"/>
        <w:ind w:left="360"/>
      </w:pPr>
      <w:r>
        <w:rPr>
          <w:rFonts w:ascii="Calibri" w:hAnsi="Calibri"/>
          <w:sz w:val="22"/>
        </w:rPr>
        <w:t>• Unl</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Minedec</w:t>
      </w:r>
    </w:p>
    <w:p>
      <w:pPr>
        <w:spacing w:after="40" w:before="40"/>
        <w:ind w:left="360"/>
      </w:pPr>
      <w:r>
        <w:rPr>
          <w:rFonts w:ascii="Calibri" w:hAnsi="Calibri"/>
          <w:sz w:val="22"/>
        </w:rPr>
        <w:t>• Universidad de los Hemisferios</w:t>
      </w:r>
    </w:p>
    <w:p>
      <w:pPr>
        <w:spacing w:after="40" w:before="40"/>
        <w:ind w:left="360"/>
      </w:pPr>
      <w:r>
        <w:rPr>
          <w:rFonts w:ascii="Calibri" w:hAnsi="Calibri"/>
          <w:sz w:val="22"/>
        </w:rPr>
        <w:t>• Fundaciones, GADS, Programas</w:t>
      </w:r>
    </w:p>
    <w:p>
      <w:pPr>
        <w:spacing w:after="40" w:before="40"/>
        <w:ind w:left="360"/>
      </w:pPr>
      <w:r>
        <w:rPr>
          <w:rFonts w:ascii="Calibri" w:hAnsi="Calibri"/>
          <w:sz w:val="22"/>
        </w:rPr>
        <w:t>• Instituto Raimon Gaja</w:t>
      </w:r>
    </w:p>
    <w:p>
      <w:pPr>
        <w:spacing w:after="40" w:before="40"/>
        <w:ind w:left="360"/>
      </w:pPr>
      <w:r>
        <w:rPr>
          <w:rFonts w:ascii="Calibri" w:hAnsi="Calibri"/>
          <w:sz w:val="22"/>
        </w:rPr>
        <w:t>• Orgaepsi</w:t>
      </w:r>
    </w:p>
    <w:p>
      <w:pPr>
        <w:spacing w:after="40" w:before="40"/>
        <w:ind w:left="360"/>
      </w:pPr>
      <w:r>
        <w:rPr>
          <w:rFonts w:ascii="Calibri" w:hAnsi="Calibri"/>
          <w:sz w:val="22"/>
        </w:rPr>
        <w:t>• Idea consulting</w:t>
      </w:r>
    </w:p>
    <w:p>
      <w:pPr>
        <w:spacing w:after="40" w:before="40"/>
        <w:ind w:left="360"/>
      </w:pPr>
      <w:r>
        <w:rPr>
          <w:rFonts w:ascii="Calibri" w:hAnsi="Calibri"/>
          <w:sz w:val="22"/>
        </w:rPr>
        <w:t>• Unl</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Los datos muestran que el 16.67% (1 personas) recibió apoyo total, el 33.33% (2 personas) indica apoyo parcial, mientras que el 50.00% (3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Gestión académica</w:t>
      </w:r>
    </w:p>
    <w:p>
      <w:pPr>
        <w:spacing w:after="40" w:before="40"/>
        <w:ind w:left="360"/>
      </w:pPr>
      <w:r>
        <w:rPr>
          <w:rFonts w:ascii="Calibri" w:hAnsi="Calibri"/>
          <w:sz w:val="22"/>
        </w:rPr>
        <w:t>• Tecnicas de enseñanza</w:t>
      </w:r>
    </w:p>
    <w:p>
      <w:pPr>
        <w:spacing w:after="40" w:before="40"/>
        <w:ind w:left="360"/>
      </w:pPr>
      <w:r>
        <w:rPr>
          <w:rFonts w:ascii="Calibri" w:hAnsi="Calibri"/>
          <w:sz w:val="22"/>
        </w:rPr>
        <w:t>• Evaluación</w:t>
      </w:r>
    </w:p>
    <w:p>
      <w:pPr>
        <w:spacing w:after="40" w:before="40"/>
        <w:ind w:left="360"/>
      </w:pPr>
      <w:r>
        <w:rPr>
          <w:rFonts w:ascii="Calibri" w:hAnsi="Calibri"/>
          <w:sz w:val="22"/>
        </w:rPr>
        <w:t>• Herramientas tecnológicas TICS</w:t>
      </w:r>
    </w:p>
    <w:p>
      <w:pPr>
        <w:spacing w:after="40" w:before="40"/>
        <w:ind w:left="360"/>
      </w:pPr>
      <w:r>
        <w:rPr>
          <w:rFonts w:ascii="Calibri" w:hAnsi="Calibri"/>
          <w:sz w:val="22"/>
        </w:rPr>
        <w:t>• Continuar con su formación académica y profesional</w:t>
      </w:r>
    </w:p>
    <w:p>
      <w:pPr>
        <w:spacing w:after="40" w:before="40"/>
        <w:ind w:left="360"/>
      </w:pPr>
      <w:r>
        <w:rPr>
          <w:rFonts w:ascii="Calibri" w:hAnsi="Calibri"/>
          <w:sz w:val="22"/>
        </w:rPr>
        <w:t>• Manejo de conductas desafiantes en alumnos con tea</w:t>
      </w:r>
    </w:p>
    <w:p>
      <w:pPr>
        <w:spacing w:after="40" w:before="40"/>
        <w:ind w:left="360"/>
      </w:pPr>
      <w:r>
        <w:rPr>
          <w:rFonts w:ascii="Calibri" w:hAnsi="Calibri"/>
          <w:sz w:val="22"/>
        </w:rPr>
        <w:t>• Diagnóstico</w:t>
      </w:r>
    </w:p>
    <w:p>
      <w:pPr>
        <w:spacing w:after="40" w:before="40"/>
        <w:ind w:left="360"/>
      </w:pPr>
      <w:r>
        <w:rPr>
          <w:rFonts w:ascii="Calibri" w:hAnsi="Calibri"/>
          <w:sz w:val="22"/>
        </w:rPr>
        <w:t>• Autismo y TDAH</w:t>
      </w:r>
    </w:p>
    <w:p w14:paraId="0FC6366B" w14:textId="21DDA17A" w:rsidR="00A40C22" w:rsidRDefault="00A40C22">
      <w:pPr>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Gestión académica</w:t>
      </w:r>
    </w:p>
    <w:p>
      <w:pPr>
        <w:spacing w:after="40" w:before="40"/>
        <w:ind w:left="360"/>
      </w:pPr>
      <w:r>
        <w:rPr>
          <w:rFonts w:ascii="Calibri" w:hAnsi="Calibri"/>
          <w:sz w:val="22"/>
        </w:rPr>
        <w:t>• Tecnicas de enseñanza</w:t>
      </w:r>
    </w:p>
    <w:p>
      <w:pPr>
        <w:spacing w:after="40" w:before="40"/>
        <w:ind w:left="360"/>
      </w:pPr>
      <w:r>
        <w:rPr>
          <w:rFonts w:ascii="Calibri" w:hAnsi="Calibri"/>
          <w:sz w:val="22"/>
        </w:rPr>
        <w:t>• Evaluación</w:t>
      </w:r>
    </w:p>
    <w:p>
      <w:pPr>
        <w:spacing w:after="40" w:before="40"/>
        <w:ind w:left="360"/>
      </w:pPr>
      <w:r>
        <w:rPr>
          <w:rFonts w:ascii="Calibri" w:hAnsi="Calibri"/>
          <w:sz w:val="22"/>
        </w:rPr>
        <w:t>• Herramientas tecnológicas TICS</w:t>
      </w:r>
    </w:p>
    <w:p>
      <w:pPr>
        <w:spacing w:after="40" w:before="40"/>
        <w:ind w:left="360"/>
      </w:pPr>
      <w:r>
        <w:rPr>
          <w:rFonts w:ascii="Calibri" w:hAnsi="Calibri"/>
          <w:sz w:val="22"/>
        </w:rPr>
        <w:t>• Continuar con su formación académica y profesional</w:t>
      </w:r>
    </w:p>
    <w:p>
      <w:pPr>
        <w:spacing w:after="40" w:before="40"/>
        <w:ind w:left="360"/>
      </w:pPr>
      <w:r>
        <w:rPr>
          <w:rFonts w:ascii="Calibri" w:hAnsi="Calibri"/>
          <w:sz w:val="22"/>
        </w:rPr>
        <w:t>• Manejo de conductas desafiantes en alumnos con tea</w:t>
      </w:r>
    </w:p>
    <w:p>
      <w:pPr>
        <w:spacing w:after="40" w:before="40"/>
        <w:ind w:left="360"/>
      </w:pPr>
      <w:r>
        <w:rPr>
          <w:rFonts w:ascii="Calibri" w:hAnsi="Calibri"/>
          <w:sz w:val="22"/>
        </w:rPr>
        <w:t>• Diagnóstico</w:t>
      </w:r>
    </w:p>
    <w:p>
      <w:pPr>
        <w:spacing w:after="40" w:before="40"/>
        <w:ind w:left="360"/>
      </w:pPr>
      <w:r>
        <w:rPr>
          <w:rFonts w:ascii="Calibri" w:hAnsi="Calibri"/>
          <w:sz w:val="22"/>
        </w:rPr>
        <w:t>• Autismo y TDAH</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F6282B">
        <w:rPr/>
        <w:fldChar w:fldCharType="begin"/>
      </w:r>
      <w:r w:rsidR="00F6282B">
        <w:rPr/>
        <w:instrText xml:space="preserve"> SEQ Tabla \* ARABIC </w:instrText>
      </w:r>
      <w:r w:rsidR="00F6282B">
        <w:rPr/>
        <w:fldChar w:fldCharType="separate"/>
      </w:r>
      <w:r>
        <w:rPr>
          <w:noProof/>
        </w:rPr>
        <w:t>11</w:t>
      </w:r>
      <w:r w:rsidR="00F6282B">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32,00%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12</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48,00%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16,00%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De los 6 empleadores consultados, el 50.00% (3 empleadores) considera que la demanda es Alta, y el 50.00% (3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F6282B">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498E178A"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 xml:space="preserve">en </w:t>
                          </w:r>
                          <w:r w:rsidR="00D00969">
                            <w:rPr>
                              <w:rFonts w:ascii="Century Gothic" w:eastAsia="Century Gothic" w:hAnsi="Century Gothic" w:cs="Century Gothic"/>
                              <w:b/>
                              <w:color w:val="000000"/>
                              <w:sz w:val="20"/>
                            </w:rPr>
                            <w:t>Educación Especial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498E178A"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 xml:space="preserve">en </w:t>
                    </w:r>
                    <w:r w:rsidR="00D00969">
                      <w:rPr>
                        <w:rFonts w:ascii="Century Gothic" w:eastAsia="Century Gothic" w:hAnsi="Century Gothic" w:cs="Century Gothic"/>
                        <w:b/>
                        <w:color w:val="000000"/>
                        <w:sz w:val="20"/>
                      </w:rPr>
                      <w:t>Educación Especial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33A3E"/>
    <w:rsid w:val="00B56DF5"/>
    <w:rsid w:val="00B57C34"/>
    <w:rsid w:val="00B6701C"/>
    <w:rsid w:val="00B7790D"/>
    <w:rsid w:val="00B946F6"/>
    <w:rsid w:val="00BA03F4"/>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6282B"/>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813355E-BB99-470E-AF44-BABBF024E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2569</TotalTime>
  <Pages>30</Pages>
  <Words>7761</Words>
  <Characters>42688</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336</cp:revision>
  <dcterms:created xsi:type="dcterms:W3CDTF">2023-03-14T17:43:00Z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