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1D8810D5"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r w:rsidR="000A1C00">
        <w:rPr>
          <w:rFonts w:ascii="Arial" w:eastAsia="Tahoma" w:hAnsi="Arial" w:cs="Arial"/>
          <w:b/>
          <w:color w:val="000000"/>
        </w:rPr>
        <w:t xml:space="preserve">EN </w:t>
      </w:r>
      <w:r w:rsidR="005B316A">
        <w:rPr>
          <w:rFonts w:ascii="Arial" w:eastAsia="Tahoma" w:hAnsi="Arial" w:cs="Arial"/>
          <w:b/>
          <w:color w:val="000000"/>
        </w:rPr>
        <w:t>EDUCACIÓN BÁSICA</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59186E32" w:rsidR="009521C1" w:rsidRDefault="001F1559"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Pr>
          <w:rFonts w:ascii="Tahoma" w:eastAsia="Tahoma" w:hAnsi="Tahoma" w:cs="Tahoma"/>
          <w:color w:val="000000"/>
        </w:rPr>
        <w:t xml:space="preserve">Mgtr. </w:t>
      </w:r>
      <w:r w:rsidRPr="001F1559">
        <w:rPr>
          <w:rFonts w:ascii="Tahoma" w:eastAsia="Tahoma" w:hAnsi="Tahoma" w:cs="Tahoma"/>
          <w:color w:val="000000"/>
        </w:rPr>
        <w:t>Jaime Efrén Chillogallo Ordóñez</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321305">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321305">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321305">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321305">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321305">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321305">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321305">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321305">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8FB1334" w:rsidR="00960258" w:rsidRPr="00652C9B" w:rsidRDefault="002D222E">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Pr>
                <w:rFonts w:ascii="Arial" w:eastAsia="Tahoma" w:hAnsi="Arial" w:cs="Arial"/>
                <w:b/>
                <w:color w:val="000000"/>
              </w:rPr>
              <w:t>MAESTRÍA EN EDUCACIÓN BÁSICA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11</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11</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0</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00A38AF7" w:rsidR="00960258" w:rsidRPr="00652C9B" w:rsidRDefault="00321305"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21305">
              <w:rPr>
                <w:rFonts w:ascii="Arial" w:eastAsia="Tahoma" w:hAnsi="Arial" w:cs="Arial"/>
                <w:color w:val="000000"/>
              </w:rPr>
              <w:t>Mgtr. Jaime Efrén Chillogallo Ordóñez.</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6CDB0C0E"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2D222E">
        <w:rPr>
          <w:rFonts w:ascii="Arial" w:eastAsia="Tahoma" w:hAnsi="Arial" w:cs="Arial"/>
          <w:color w:val="000000"/>
        </w:rPr>
        <w:t>Maestría en Educación Básica</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0B658685"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11.</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590DB99E"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2D222E">
        <w:rPr>
          <w:rFonts w:ascii="Arial" w:eastAsia="Tahoma" w:hAnsi="Arial" w:cs="Arial"/>
          <w:color w:val="000000"/>
        </w:rPr>
        <w:t>Maestría en Educación Básica</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1F1559">
        <w:rPr>
          <w:rFonts w:ascii="Arial" w:eastAsia="Tahoma" w:hAnsi="Arial" w:cs="Arial"/>
          <w:b/>
          <w:color w:val="000000"/>
        </w:rPr>
        <w:t>12</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472206A9"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0,5*0,5*13</m:t>
                  </m:r>
                </m:num>
                <m:den>
                  <m:d>
                    <m:dPr>
                      <m:ctrlPr>
                        <w:rPr>
                          <w:rFonts w:ascii="Cambria Math" w:eastAsia="Cambria Math" w:hAnsi="Cambria Math" w:cs="Arial"/>
                        </w:rPr>
                      </m:ctrlPr>
                    </m:dPr>
                    <m:e>
                      <m:r>
                        <w:rPr>
                          <w:rFonts w:ascii="Cambria Math" w:eastAsia="Cambria Math" w:hAnsi="Cambria Math" w:cs="Arial"/>
                        </w:rPr>
                        <m:t>13-1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0A8D26E3"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1F1559">
              <w:rPr>
                <w:rFonts w:ascii="Arial" w:eastAsia="Arial" w:hAnsi="Arial" w:cs="Arial"/>
              </w:rPr>
              <w:t>12</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271E1D2D" w14:textId="77777777" w:rsidR="00903A67" w:rsidRDefault="00903A67" w:rsidP="00903A67">
      <w:pPr>
        <w:spacing w:before="240" w:after="240"/>
        <w:ind w:firstLine="360"/>
        <w:jc w:val="both"/>
        <w:rPr>
          <w:rFonts w:ascii="Tahoma" w:eastAsia="Tahoma" w:hAnsi="Tahoma" w:cs="Tahoma"/>
          <w:color w:val="000000"/>
          <w:sz w:val="20"/>
          <w:szCs w:val="20"/>
        </w:rPr>
      </w:pPr>
      <w:r>
        <w:rPr>
          <w:rFonts w:ascii="Tahoma" w:eastAsia="Tahoma" w:hAnsi="Tahoma" w:cs="Tahoma"/>
          <w:color w:val="000000"/>
          <w:sz w:val="20"/>
          <w:szCs w:val="20"/>
        </w:rPr>
        <w:t>Por lo que se realizó una disminución del tamaño de la muestra, aplicando la siguiente fórmula:</w:t>
      </w:r>
    </w:p>
    <w:tbl>
      <w:tblPr>
        <w:tblW w:w="7857" w:type="dxa"/>
        <w:tblInd w:w="421" w:type="dxa"/>
        <w:tblBorders>
          <w:top w:val="nil"/>
          <w:left w:val="nil"/>
          <w:bottom w:val="nil"/>
          <w:right w:val="nil"/>
          <w:insideH w:val="nil"/>
          <w:insideV w:val="nil"/>
        </w:tblBorders>
        <w:tblLayout w:type="fixed"/>
        <w:tblLook w:val="0000" w:firstRow="0" w:lastRow="0" w:firstColumn="0" w:lastColumn="0" w:noHBand="0" w:noVBand="0"/>
      </w:tblPr>
      <w:tblGrid>
        <w:gridCol w:w="2727"/>
        <w:gridCol w:w="5130"/>
      </w:tblGrid>
      <w:tr w:rsidR="00903A67" w14:paraId="31CFCD35" w14:textId="77777777" w:rsidTr="006E6D05">
        <w:trPr>
          <w:trHeight w:val="1456"/>
        </w:trPr>
        <w:tc>
          <w:tcPr>
            <w:tcW w:w="2727" w:type="dxa"/>
            <w:tcBorders>
              <w:top w:val="nil"/>
              <w:left w:val="nil"/>
              <w:bottom w:val="nil"/>
              <w:right w:val="nil"/>
            </w:tcBorders>
            <w:tcMar>
              <w:top w:w="0" w:type="dxa"/>
              <w:left w:w="108" w:type="dxa"/>
              <w:bottom w:w="0" w:type="dxa"/>
              <w:right w:w="108" w:type="dxa"/>
            </w:tcMar>
          </w:tcPr>
          <w:p w14:paraId="495207F0" w14:textId="77777777" w:rsidR="00903A67" w:rsidRDefault="00903A67" w:rsidP="006E6D05">
            <w:pPr>
              <w:spacing w:before="0" w:after="0"/>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n1≥</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n . N</m:t>
                    </m:r>
                  </m:num>
                  <m:den>
                    <m:r>
                      <w:rPr>
                        <w:rFonts w:ascii="Cambria Math" w:eastAsia="Cambria Math" w:hAnsi="Cambria Math" w:cs="Cambria Math"/>
                        <w:color w:val="000000"/>
                        <w:sz w:val="28"/>
                        <w:szCs w:val="28"/>
                      </w:rPr>
                      <m:t>n+N</m:t>
                    </m:r>
                  </m:den>
                </m:f>
              </m:oMath>
            </m:oMathPara>
          </w:p>
          <w:p w14:paraId="6B074BB1" w14:textId="5033FA2F" w:rsidR="00903A67" w:rsidRDefault="00903A67" w:rsidP="006E6D05">
            <w:pPr>
              <w:spacing w:before="0" w:after="0"/>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 xml:space="preserve">n1= </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12*13</m:t>
                    </m:r>
                  </m:num>
                  <m:den>
                    <m:r>
                      <w:rPr>
                        <w:rFonts w:ascii="Cambria Math" w:eastAsia="Cambria Math" w:hAnsi="Cambria Math" w:cs="Cambria Math"/>
                        <w:color w:val="000000"/>
                        <w:sz w:val="28"/>
                        <w:szCs w:val="28"/>
                      </w:rPr>
                      <m:t>12+13</m:t>
                    </m:r>
                  </m:den>
                </m:f>
                <m:r>
                  <w:rPr>
                    <w:rFonts w:ascii="Cambria Math" w:eastAsia="Cambria Math" w:hAnsi="Cambria Math" w:cs="Cambria Math"/>
                    <w:color w:val="000000"/>
                    <w:sz w:val="28"/>
                    <w:szCs w:val="28"/>
                  </w:rPr>
                  <m:t>=6</m:t>
                </m:r>
              </m:oMath>
            </m:oMathPara>
          </w:p>
        </w:tc>
        <w:tc>
          <w:tcPr>
            <w:tcW w:w="5130" w:type="dxa"/>
            <w:tcBorders>
              <w:top w:val="nil"/>
              <w:left w:val="nil"/>
              <w:bottom w:val="nil"/>
              <w:right w:val="nil"/>
            </w:tcBorders>
            <w:tcMar>
              <w:top w:w="0" w:type="dxa"/>
              <w:left w:w="108" w:type="dxa"/>
              <w:bottom w:w="0" w:type="dxa"/>
              <w:right w:w="108" w:type="dxa"/>
            </w:tcMar>
          </w:tcPr>
          <w:p w14:paraId="11EFA669" w14:textId="77777777" w:rsidR="00903A67" w:rsidRDefault="00903A67" w:rsidP="006E6D05">
            <w:pPr>
              <w:spacing w:before="0" w:after="0"/>
              <w:ind w:right="-8"/>
              <w:jc w:val="left"/>
              <w:rPr>
                <w:rFonts w:ascii="Tahoma" w:eastAsia="Tahoma" w:hAnsi="Tahoma" w:cs="Tahoma"/>
                <w:color w:val="000000"/>
                <w:sz w:val="20"/>
                <w:szCs w:val="20"/>
              </w:rPr>
            </w:pPr>
            <w:r>
              <w:rPr>
                <w:rFonts w:ascii="Tahoma" w:eastAsia="Tahoma" w:hAnsi="Tahoma" w:cs="Tahoma"/>
                <w:color w:val="000000"/>
                <w:sz w:val="18"/>
                <w:szCs w:val="18"/>
              </w:rPr>
              <w:t>Donde, n1 es el nuevo tamaño de la muestra, N es el tamaño de la población; n es el tamaño previo de la muestra.</w:t>
            </w:r>
          </w:p>
        </w:tc>
      </w:tr>
    </w:tbl>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73BB7113"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1F1559">
        <w:rPr>
          <w:rFonts w:ascii="Arial" w:eastAsia="Tahoma" w:hAnsi="Arial" w:cs="Arial"/>
          <w:b/>
          <w:color w:val="000000"/>
        </w:rPr>
        <w:t>11.</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r w:rsidR="00321305">
        <w:rPr/>
        <w:fldChar w:fldCharType="begin"/>
      </w:r>
      <w:r w:rsidR="00321305">
        <w:rPr/>
        <w:instrText xml:space="preserve"> SEQ Tabla \* ARABIC </w:instrText>
      </w:r>
      <w:r w:rsidR="00321305">
        <w:rPr/>
        <w:fldChar w:fldCharType="separate"/>
      </w:r>
      <w:r w:rsidR="005D60C3">
        <w:rPr>
          <w:noProof/>
        </w:rPr>
        <w:t>1</w:t>
      </w:r>
      <w:r w:rsidR="00321305">
        <w:rPr>
          <w:noProof/>
        </w:rPr>
        <w:fldChar w:fldCharType="end"/>
      </w:r>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11 maestrantes, con una marcada predominancia femenina (54.55%) frente a un 45.45% de hombres. El 54.55% son solteros y los rangos de edad predominantes se sitúan entre los 26 y 35 años (63.64%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r w:rsidR="00321305">
        <w:rPr/>
        <w:fldChar w:fldCharType="begin"/>
      </w:r>
      <w:r w:rsidR="00321305">
        <w:rPr/>
        <w:instrText xml:space="preserve"> SEQ Tabla \* ARABIC </w:instrText>
      </w:r>
      <w:r w:rsidR="00321305">
        <w:rPr/>
        <w:fldChar w:fldCharType="separate"/>
      </w:r>
      <w:r w:rsidR="005D60C3">
        <w:rPr>
          <w:noProof/>
        </w:rPr>
        <w:t>2</w:t>
      </w:r>
      <w:r w:rsidR="00321305">
        <w:rPr>
          <w:noProof/>
        </w:rPr>
        <w:fldChar w:fldCharType="end"/>
      </w:r>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5</w:t>
            </w:r>
          </w:p>
        </w:tc>
        <w:tc>
          <w:tcPr>
            <w:tcW w:w="945" w:type="pct"/>
            <w:noWrap/>
            <w:hideMark/>
          </w:tcPr>
          <w:p>
            <w:pPr>
              <w:spacing w:before="0" w:after="0"/>
              <w:jc w:val="center"/>
            </w:pPr>
            <w:r>
              <w:t>45,45%</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6</w:t>
            </w:r>
          </w:p>
        </w:tc>
        <w:tc>
          <w:tcPr>
            <w:tcW w:w="945" w:type="pct"/>
            <w:noWrap/>
            <w:hideMark/>
          </w:tcPr>
          <w:p>
            <w:pPr>
              <w:spacing w:before="0" w:after="0"/>
              <w:jc w:val="center"/>
            </w:pPr>
            <w:r>
              <w:t>54,55%</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6</w:t>
            </w:r>
          </w:p>
        </w:tc>
        <w:tc>
          <w:tcPr>
            <w:tcW w:w="945" w:type="pct"/>
            <w:noWrap/>
            <w:hideMark/>
          </w:tcPr>
          <w:p>
            <w:pPr>
              <w:spacing w:before="0" w:after="0"/>
              <w:jc w:val="center"/>
            </w:pPr>
            <w:r>
              <w:t>54,55%</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3</w:t>
            </w:r>
          </w:p>
        </w:tc>
        <w:tc>
          <w:tcPr>
            <w:tcW w:w="945" w:type="pct"/>
            <w:noWrap/>
            <w:hideMark/>
          </w:tcPr>
          <w:p>
            <w:pPr>
              <w:spacing w:before="0" w:after="0"/>
              <w:jc w:val="center"/>
            </w:pPr>
            <w:r>
              <w:t>27,27%</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1</w:t>
            </w:r>
          </w:p>
        </w:tc>
        <w:tc>
          <w:tcPr>
            <w:tcW w:w="945" w:type="pct"/>
            <w:noWrap/>
            <w:hideMark/>
          </w:tcPr>
          <w:p>
            <w:pPr>
              <w:spacing w:before="0" w:after="0"/>
              <w:jc w:val="center"/>
            </w:pPr>
            <w:r>
              <w:t>9,09%</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9,09%</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1</w:t>
            </w:r>
          </w:p>
        </w:tc>
        <w:tc>
          <w:tcPr>
            <w:tcW w:w="945" w:type="pct"/>
            <w:noWrap/>
            <w:hideMark/>
          </w:tcPr>
          <w:p>
            <w:pPr>
              <w:spacing w:before="0" w:after="0"/>
              <w:jc w:val="center"/>
            </w:pPr>
            <w:r>
              <w:t>9,09%</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3</w:t>
            </w:r>
          </w:p>
        </w:tc>
        <w:tc>
          <w:tcPr>
            <w:tcW w:w="945" w:type="pct"/>
            <w:noWrap/>
            <w:hideMark/>
          </w:tcPr>
          <w:p>
            <w:pPr>
              <w:spacing w:before="0" w:after="0"/>
              <w:jc w:val="center"/>
            </w:pPr>
            <w:r>
              <w:t>27,27%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4</w:t>
            </w:r>
          </w:p>
        </w:tc>
        <w:tc>
          <w:tcPr>
            <w:tcW w:w="945" w:type="pct"/>
            <w:noWrap/>
            <w:hideMark/>
          </w:tcPr>
          <w:p>
            <w:pPr>
              <w:spacing w:before="0" w:after="0"/>
              <w:jc w:val="center"/>
            </w:pPr>
            <w:r>
              <w:t>36,36%</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3</w:t>
            </w:r>
          </w:p>
        </w:tc>
        <w:tc>
          <w:tcPr>
            <w:tcW w:w="945" w:type="pct"/>
            <w:noWrap/>
            <w:hideMark/>
          </w:tcPr>
          <w:p>
            <w:pPr>
              <w:spacing w:before="0" w:after="0"/>
              <w:jc w:val="center"/>
            </w:pPr>
            <w:r>
              <w:t>27,27%</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0A6618D6" w14:textId="77777777" w:rsidR="001B122B" w:rsidRPr="001B122B" w:rsidRDefault="001B122B" w:rsidP="001B122B">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1B122B">
        <w:rPr>
          <w:rFonts w:ascii="Arial" w:eastAsia="Tahoma" w:hAnsi="Arial" w:cs="Arial"/>
          <w:color w:val="000000"/>
        </w:rPr>
        <w:t>Diseña, implementa y evalúa proyectos de inversión empresarial, encaminados a fortalecer las cadenas productivas, la diversificación económica y el desarrollo local, con la finalidad de disminuir la desigualdad económica y social, con un enfoque de interculturalidad y sostenibilidad ambiental.</w:t>
      </w:r>
    </w:p>
    <w:p w14:paraId="112FC240" w14:textId="1B35133E" w:rsidR="001B122B" w:rsidRPr="001B122B" w:rsidRDefault="001B122B" w:rsidP="008F2EB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1B122B">
        <w:rPr>
          <w:rFonts w:ascii="Arial" w:eastAsia="Tahoma" w:hAnsi="Arial" w:cs="Arial"/>
          <w:color w:val="000000"/>
        </w:rPr>
        <w:t xml:space="preserve"> Elabora, ejecuta y evalúa planes estratégicos empresariales, aplicando principios de la innovación, la dirección y la gestión por procesos y el emprendimiento, con la finalidad de garantizar la rentabilidad y la sostenibilidad de las actividades empresariales a nivel regional y sectorial.</w:t>
      </w:r>
    </w:p>
    <w:p w14:paraId="472CF174" w14:textId="51F578D6" w:rsidR="005B316A" w:rsidRPr="001B122B" w:rsidRDefault="001B122B" w:rsidP="008931E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1B122B">
        <w:rPr>
          <w:rFonts w:ascii="Arial" w:eastAsia="Tahoma" w:hAnsi="Arial" w:cs="Arial"/>
          <w:color w:val="000000"/>
        </w:rPr>
        <w:t xml:space="preserve"> Aplica los principios y procesos de la inteligencia de negocios, el análisis de datos y las metodologías estadísticas, permitiendo el desarrollo de capacidades para el análisis de la información de la actividad empresarial y la toma de decisiones informada y pertinente, con el objetivo de establecer la incidencia de las variables macro y microeconómicas en el nivel de rentabilidad de las actividades empresariales, con una perspectiva de eficiencia y equidad.</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81.82% de los maestrantes (9 personas) evidencia interés en formarse y actualizarse profesionalmente, mientras que el 18.18% restante (2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sidR="005D60C3">
        <w:rPr>
          <w:noProof/>
        </w:rPr>
        <w:t>3</w:t>
      </w:r>
      <w:r w:rsidR="00321305">
        <w:rPr>
          <w:noProof/>
        </w:rPr>
        <w:fldChar w:fldCharType="end"/>
      </w:r>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36,36%</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27,27%</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9,09%</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18,18%</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27,27%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18,18%</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18,18%</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63,64%</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 xml:space="preserve">Temática </w:t>
      </w:r>
      <w:proofErr w:type="gramStart"/>
      <w:r w:rsidRPr="00652C9B">
        <w:rPr>
          <w:rFonts w:ascii="Arial" w:eastAsia="Tahoma" w:hAnsi="Arial" w:cs="Arial"/>
          <w:color w:val="000000"/>
        </w:rPr>
        <w:t>1….</w:t>
      </w:r>
      <w:proofErr w:type="gramEnd"/>
      <w:r w:rsidRPr="00652C9B">
        <w:rPr>
          <w:rFonts w:ascii="Arial" w:eastAsia="Tahoma" w:hAnsi="Arial" w:cs="Arial"/>
          <w:color w:val="000000"/>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2" w:name="_Hlk222395119"/>
      <w:r w:rsidRPr="00652C9B">
        <w:rPr>
          <w:rFonts w:ascii="Arial" w:eastAsia="Tahoma" w:hAnsi="Arial" w:cs="Arial"/>
        </w:rPr>
        <w:t>Conocimientos en …</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3FE9F78B"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2D222E">
        <w:rPr>
          <w:rFonts w:ascii="Arial" w:eastAsia="Tahoma" w:hAnsi="Arial" w:cs="Arial"/>
          <w:color w:val="000000"/>
        </w:rPr>
        <w:t>Maestría en Educación Básica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sidR="005D60C3">
        <w:rPr>
          <w:noProof/>
        </w:rPr>
        <w:t>4</w:t>
      </w:r>
      <w:r w:rsidR="00321305">
        <w:rPr>
          <w:noProof/>
        </w:rPr>
        <w:fldChar w:fldCharType="end"/>
      </w:r>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0.00% de los empleadores califica al graduado como Muy Bueno, y el 0.00% como Bueno. Adicionalmente, el comportamiento ético y el compromiso institucional se destacan con un 0.00% y 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sidR="005D60C3">
        <w:rPr>
          <w:noProof/>
        </w:rPr>
        <w:t>5</w:t>
      </w:r>
      <w:r w:rsidR="00321305">
        <w:rPr>
          <w:noProof/>
        </w:rPr>
        <w:fldChar w:fldCharType="end"/>
      </w:r>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sidR="005D60C3">
        <w:rPr>
          <w:noProof/>
        </w:rPr>
        <w:t>6</w:t>
      </w:r>
      <w:r w:rsidR="00321305">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27,27%</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27,27%</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9,09%</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36,36%</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t>Los empleadores consultados no reportaron cargos específicos en los datos disponibles.</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t>Los empleadores consultados no reportaron funciones específicas en los datos disponibles.</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sidR="005D60C3">
        <w:rPr>
          <w:noProof/>
        </w:rPr>
        <w:t>7</w:t>
      </w:r>
      <w:r w:rsidR="00321305">
        <w:rPr>
          <w:noProof/>
        </w:rPr>
        <w:fldChar w:fldCharType="end"/>
      </w:r>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rPr>
        <w:t xml:space="preserve">La razón de uno de los graduados </w:t>
      </w:r>
      <w:r w:rsidR="005B1B78">
        <w:rPr>
          <w:rFonts w:ascii="Arial" w:eastAsia="Tahoma" w:hAnsi="Arial" w:cs="Arial"/>
          <w:color w:val="000000"/>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sidR="005D60C3">
        <w:rPr>
          <w:noProof/>
        </w:rPr>
        <w:t>8</w:t>
      </w:r>
      <w:r w:rsidR="00321305">
        <w:rPr>
          <w:noProof/>
        </w:rPr>
        <w:fldChar w:fldCharType="end"/>
      </w:r>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Pr>
          <w:noProof/>
        </w:rPr>
        <w:t>9</w:t>
      </w:r>
      <w:r w:rsidR="00321305">
        <w:rPr>
          <w:noProof/>
        </w:rPr>
        <w:fldChar w:fldCharType="end"/>
      </w:r>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27,27%</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27,27%</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9,09%</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36,36%</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"Cyber games",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Pr>
          <w:noProof/>
        </w:rPr>
        <w:t>10</w:t>
      </w:r>
      <w:r w:rsidR="00321305">
        <w:rPr>
          <w:noProof/>
        </w:rPr>
        <w:fldChar w:fldCharType="end"/>
      </w:r>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36,36%</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18,18%</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18,18%</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36,36%</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Ministerio de Educación, UTPL</w:t>
      </w:r>
    </w:p>
    <w:p>
      <w:pPr>
        <w:spacing w:after="40" w:before="40"/>
        <w:ind w:left="360"/>
      </w:pPr>
      <w:r>
        <w:rPr>
          <w:rFonts w:ascii="Calibri" w:hAnsi="Calibri"/>
          <w:sz w:val="22"/>
        </w:rPr>
        <w:t>• Universidad Técnica Particular de Loja , Instituto Tecnológico Superior Daniel Alvarez Burneo</w:t>
      </w:r>
    </w:p>
    <w:p>
      <w:pPr>
        <w:spacing w:after="40" w:before="40"/>
        <w:ind w:left="360"/>
      </w:pPr>
      <w:r>
        <w:rPr>
          <w:rFonts w:ascii="Calibri" w:hAnsi="Calibri"/>
          <w:sz w:val="22"/>
        </w:rPr>
        <w:t>• Coach</w:t>
      </w:r>
    </w:p>
    <w:p>
      <w:pPr>
        <w:spacing w:after="40" w:before="40"/>
        <w:ind w:left="360"/>
      </w:pPr>
      <w:r>
        <w:rPr>
          <w:rFonts w:ascii="Calibri" w:hAnsi="Calibri"/>
          <w:sz w:val="22"/>
        </w:rPr>
        <w:t>• Ministerio de educación</w:t>
      </w:r>
    </w:p>
    <w:p>
      <w:pPr>
        <w:spacing w:after="40" w:before="40"/>
        <w:ind w:left="360"/>
      </w:pPr>
      <w:r>
        <w:rPr>
          <w:rFonts w:ascii="Calibri" w:hAnsi="Calibri"/>
          <w:sz w:val="22"/>
        </w:rPr>
        <w:t>• Ministerio de Desarrollo Humano</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Unl</w:t>
      </w:r>
    </w:p>
    <w:p w14:paraId="72D09042" w14:textId="77777777" w:rsidR="00E70121" w:rsidRDefault="00E70121" w:rsidP="00680895">
      <w:pPr>
        <w:spacing w:before="80" w:after="80" w:line="276" w:lineRule="auto"/>
        <w:jc w:val="both"/>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Ministerio de Educación, UTPL</w:t>
      </w:r>
    </w:p>
    <w:p>
      <w:pPr>
        <w:spacing w:after="40" w:before="40"/>
        <w:ind w:left="360"/>
      </w:pPr>
      <w:r>
        <w:rPr>
          <w:rFonts w:ascii="Calibri" w:hAnsi="Calibri"/>
          <w:sz w:val="22"/>
        </w:rPr>
        <w:t>• Universidad Técnica Particular de Loja , Instituto Tecnológico Superior Daniel Alvarez Burneo</w:t>
      </w:r>
    </w:p>
    <w:p>
      <w:pPr>
        <w:spacing w:after="40" w:before="40"/>
        <w:ind w:left="360"/>
      </w:pPr>
      <w:r>
        <w:rPr>
          <w:rFonts w:ascii="Calibri" w:hAnsi="Calibri"/>
          <w:sz w:val="22"/>
        </w:rPr>
        <w:t>• Coach</w:t>
      </w:r>
    </w:p>
    <w:p>
      <w:pPr>
        <w:spacing w:after="40" w:before="40"/>
        <w:ind w:left="360"/>
      </w:pPr>
      <w:r>
        <w:rPr>
          <w:rFonts w:ascii="Calibri" w:hAnsi="Calibri"/>
          <w:sz w:val="22"/>
        </w:rPr>
        <w:t>• Ministerio de educación</w:t>
      </w:r>
    </w:p>
    <w:p>
      <w:pPr>
        <w:spacing w:after="40" w:before="40"/>
        <w:ind w:left="360"/>
      </w:pPr>
      <w:r>
        <w:rPr>
          <w:rFonts w:ascii="Calibri" w:hAnsi="Calibri"/>
          <w:sz w:val="22"/>
        </w:rPr>
        <w:t>• Ministerio de Desarrollo Humano</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Unl</w:t>
      </w: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rPr>
        <w:t>Los</w:t>
      </w:r>
      <w:proofErr w:type="gramStart"/>
      <w:r w:rsidRPr="00772E78">
        <w:rPr>
          <w:rFonts w:ascii="Arial" w:eastAsia="Arial" w:hAnsi="Arial" w:cs="Arial"/>
        </w:rPr>
        <w:t xml:space="preserve"> </w:t>
      </w:r>
      <w:r w:rsidR="00772E78" w:rsidRPr="00772E78">
        <w:rPr>
          <w:rFonts w:ascii="Arial" w:eastAsia="Arial" w:hAnsi="Arial" w:cs="Arial"/>
        </w:rPr>
        <w:t>….</w:t>
      </w:r>
      <w:proofErr w:type="gramEnd"/>
      <w:r w:rsidRPr="00772E78">
        <w:rPr>
          <w:rFonts w:ascii="Arial" w:eastAsia="Arial" w:hAnsi="Arial" w:cs="Arial"/>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t>Los empleadores consultados no registraron sugerencias específicas de capacitación en los datos disponibles.</w:t>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r w:rsidR="00321305">
        <w:rPr/>
        <w:fldChar w:fldCharType="begin"/>
      </w:r>
      <w:r w:rsidR="00321305">
        <w:rPr/>
        <w:instrText xml:space="preserve"> SEQ Tabla \* ARABIC </w:instrText>
      </w:r>
      <w:r w:rsidR="00321305">
        <w:rPr/>
        <w:fldChar w:fldCharType="separate"/>
      </w:r>
      <w:r>
        <w:rPr>
          <w:noProof/>
        </w:rPr>
        <w:t>11</w:t>
      </w:r>
      <w:r w:rsidR="00321305">
        <w:rPr>
          <w:noProof/>
        </w:rPr>
        <w:fldChar w:fldCharType="end"/>
      </w:r>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54,55%</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3</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27,27%</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9,09%</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9,09%</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Los 10 empleadores consultados no registraron información cuantificable sobre la percepción de la demanda de profesionales de la carrera en la encuesta aplicada.</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rPr>
        <w:t>El perfil demográfico de la cohorte 202</w:t>
      </w:r>
      <w:r w:rsidR="005D60C3">
        <w:rPr>
          <w:rFonts w:ascii="Arial" w:eastAsia="Arial" w:hAnsi="Arial" w:cs="Arial"/>
        </w:rPr>
        <w:t>5</w:t>
      </w:r>
      <w:r w:rsidRPr="00084288">
        <w:rPr>
          <w:rFonts w:ascii="Arial" w:eastAsia="Arial" w:hAnsi="Arial" w:cs="Arial"/>
        </w:rPr>
        <w:t xml:space="preserve"> está compuesto mayoritariamente por hombres jóvenes, solteros, de entre 26 y 3</w:t>
      </w:r>
      <w:r w:rsidR="005F2AB4">
        <w:rPr>
          <w:rFonts w:ascii="Arial" w:eastAsia="Arial" w:hAnsi="Arial" w:cs="Arial"/>
        </w:rPr>
        <w:t>5</w:t>
      </w:r>
      <w:r w:rsidRPr="00084288">
        <w:rPr>
          <w:rFonts w:ascii="Arial" w:eastAsia="Arial" w:hAnsi="Arial" w:cs="Arial"/>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rPr>
        <w:t>Existe un alto interés por la formación continua, especialmente de cuarto nivel (</w:t>
      </w:r>
      <w:r w:rsidR="00851625">
        <w:rPr>
          <w:rFonts w:ascii="Arial" w:eastAsia="Arial" w:hAnsi="Arial" w:cs="Arial"/>
        </w:rPr>
        <w:t>doctorado</w:t>
      </w:r>
      <w:r w:rsidRPr="00084288">
        <w:rPr>
          <w:rFonts w:ascii="Arial" w:eastAsia="Arial" w:hAnsi="Arial" w:cs="Arial"/>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Existe una dependencia marcada del sector público para la </w:t>
      </w:r>
      <w:proofErr w:type="spellStart"/>
      <w:r w:rsidRPr="00851625">
        <w:rPr>
          <w:rFonts w:ascii="Arial" w:eastAsia="Arial" w:hAnsi="Arial" w:cs="Arial"/>
        </w:rPr>
        <w:t>absor</w:t>
      </w:r>
      <w:proofErr w:type="spellEnd"/>
      <w:r w:rsidRPr="00851625">
        <w:rPr>
          <w:rFonts w:ascii="Arial" w:eastAsia="Arial" w:hAnsi="Arial" w:cs="Arial"/>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32130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633EC0F2"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 en Educación Básica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633EC0F2"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 en Educación Básica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064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B122B"/>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1305"/>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0642"/>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6497"/>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8E560F5-5D92-4CF0-A7CA-373B581C2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2604</TotalTime>
  <Pages>30</Pages>
  <Words>7837</Words>
  <Characters>43104</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340</cp:revision>
  <dcterms:created xsi:type="dcterms:W3CDTF">2023-03-14T17:43:00Z</dcterms:created>
  <dcterms:modified xsi:type="dcterms:W3CDTF">2026-04-22T22:07:00Z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