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6C7E48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 xml:space="preserve">EDUCACIÓN </w:t>
      </w:r>
      <w:r w:rsidR="008955E9">
        <w:rPr>
          <w:rFonts w:ascii="Arial" w:eastAsia="Tahoma" w:hAnsi="Arial" w:cs="Arial"/>
          <w:b/>
          <w:color w:val="000000"/>
        </w:rPr>
        <w:t>INICIAL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D36B2">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899C95"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EDUCACIÓN </w:t>
            </w:r>
            <w:r w:rsidR="00490B10">
              <w:rPr>
                <w:rFonts w:ascii="Arial" w:eastAsia="Tahoma" w:hAnsi="Arial" w:cs="Arial"/>
                <w:b/>
                <w:color w:val="000000"/>
              </w:rPr>
              <w:t xml:space="preserve">INICIAL </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9</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D94FFDB" w:rsidR="00960258" w:rsidRPr="00652C9B" w:rsidRDefault="003D36B2"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D36B2">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A63B3C6"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6581A">
        <w:rPr>
          <w:rFonts w:ascii="Arial" w:eastAsia="Tahoma" w:hAnsi="Arial" w:cs="Arial"/>
          <w:color w:val="000000"/>
        </w:rPr>
        <w:t>Maestría en Educación Inicial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507F026C"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4E5CFEBF"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46581A">
        <w:rPr>
          <w:rFonts w:ascii="Arial" w:eastAsia="Tahoma" w:hAnsi="Arial" w:cs="Arial"/>
          <w:color w:val="000000"/>
        </w:rPr>
        <w:t>Maestría en Educación Inicial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F1559">
        <w:rPr>
          <w:rFonts w:ascii="Arial" w:eastAsia="Tahoma" w:hAnsi="Arial" w:cs="Arial"/>
          <w:b/>
          <w:color w:val="000000"/>
        </w:rPr>
        <w:t>1</w:t>
      </w:r>
      <w:r w:rsidR="00490B10">
        <w:rPr>
          <w:rFonts w:ascii="Arial" w:eastAsia="Tahoma" w:hAnsi="Arial" w:cs="Arial"/>
          <w:b/>
          <w:color w:val="000000"/>
        </w:rPr>
        <w:t>3</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DCB55B5"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0,5*0,5*14</m:t>
                  </m:r>
                </m:num>
                <m:den>
                  <m:d>
                    <m:dPr>
                      <m:ctrlPr>
                        <w:rPr>
                          <w:rFonts w:ascii="Cambria Math" w:eastAsia="Cambria Math" w:hAnsi="Cambria Math" w:cs="Arial"/>
                        </w:rPr>
                      </m:ctrlPr>
                    </m:dPr>
                    <m:e>
                      <m:r>
                        <w:rPr>
                          <w:rFonts w:ascii="Cambria Math" w:eastAsia="Cambria Math" w:hAnsi="Cambria Math" w:cs="Arial"/>
                        </w:rPr>
                        <m:t>14-1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74004DA9"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w:t>
            </w:r>
            <w:r w:rsidR="00490B10">
              <w:rPr>
                <w:rFonts w:ascii="Arial" w:eastAsia="Arial" w:hAnsi="Arial" w:cs="Arial"/>
              </w:rPr>
              <w:t>3</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4104D06E"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13*14</m:t>
                    </m:r>
                  </m:num>
                  <m:den>
                    <m:r>
                      <w:rPr>
                        <w:rFonts w:ascii="Cambria Math" w:eastAsia="Cambria Math" w:hAnsi="Cambria Math" w:cs="Cambria Math"/>
                        <w:color w:val="000000"/>
                        <w:sz w:val="28"/>
                        <w:szCs w:val="28"/>
                      </w:rPr>
                      <m:t>13+14</m:t>
                    </m:r>
                  </m:den>
                </m:f>
                <m:r>
                  <w:rPr>
                    <w:rFonts w:ascii="Cambria Math" w:eastAsia="Cambria Math" w:hAnsi="Cambria Math" w:cs="Cambria Math"/>
                    <w:color w:val="000000"/>
                    <w:sz w:val="28"/>
                    <w:szCs w:val="28"/>
                  </w:rPr>
                  <m:t>=7</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rsidP="00490B10">
      <w:pPr>
        <w:spacing w:before="240" w:after="240" w:line="240" w:lineRule="auto"/>
        <w:jc w:val="both"/>
        <w:rPr>
          <w:rFonts w:ascii="Arial" w:eastAsia="Tahoma" w:hAnsi="Arial" w:cs="Arial"/>
          <w:color w:val="000000"/>
        </w:rPr>
      </w:pPr>
    </w:p>
    <w:p w14:paraId="6EF1AD16" w14:textId="4629E83A"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rPr>
        <w:t>1</w:t>
      </w:r>
      <w:r w:rsidR="00490B10">
        <w:rPr>
          <w:rFonts w:ascii="Arial" w:eastAsia="Tahoma" w:hAnsi="Arial" w:cs="Arial"/>
          <w:b/>
          <w:color w:val="000000"/>
        </w:rPr>
        <w:t>0</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10 maestrantes, con una marcada predominancia femenina (100.00%) frente a un 0.00% de hombres. El 50.00% son solteros y los rangos de edad predominantes se sitúan entre los 26 y 35 años (60.00%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10</w:t>
            </w:r>
          </w:p>
        </w:tc>
        <w:tc>
          <w:tcPr>
            <w:tcW w:w="945" w:type="pct"/>
            <w:noWrap/>
            <w:hideMark/>
          </w:tcPr>
          <w:p>
            <w:pPr>
              <w:spacing w:before="0" w:after="0"/>
              <w:jc w:val="center"/>
            </w:pPr>
            <w:r>
              <w:t>100,00%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5</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4</w:t>
            </w:r>
          </w:p>
        </w:tc>
        <w:tc>
          <w:tcPr>
            <w:tcW w:w="945" w:type="pct"/>
            <w:noWrap/>
            <w:hideMark/>
          </w:tcPr>
          <w:p>
            <w:pPr>
              <w:spacing w:before="0" w:after="0"/>
              <w:jc w:val="center"/>
            </w:pPr>
            <w:r>
              <w:t>40,00%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5</w:t>
            </w:r>
          </w:p>
        </w:tc>
        <w:tc>
          <w:tcPr>
            <w:tcW w:w="945" w:type="pct"/>
            <w:noWrap/>
            <w:hideMark/>
          </w:tcPr>
          <w:p>
            <w:pPr>
              <w:spacing w:before="0" w:after="0"/>
              <w:jc w:val="center"/>
            </w:pPr>
            <w:r>
              <w:t>50,00%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2</w:t>
            </w:r>
          </w:p>
        </w:tc>
        <w:tc>
          <w:tcPr>
            <w:tcW w:w="945" w:type="pct"/>
            <w:noWrap/>
            <w:hideMark/>
          </w:tcPr>
          <w:p>
            <w:pPr>
              <w:spacing w:before="0" w:after="0"/>
              <w:jc w:val="center"/>
            </w:pPr>
            <w:r>
              <w:t>20,00%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77CF0272"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 xml:space="preserve">Ejecuta los fundamentos teóricos, epistemológicos, metodológicos y estratégicos de la Educación Inicial, basados en el manejo de la genética y desarrollo evolutivo de los niños de 0 a 5 años, con la inserción de experiencias de aprendizaje que fortalezcan la adquisición de destrezas en la formación infantil, respetando sus individualidades. </w:t>
      </w:r>
    </w:p>
    <w:p w14:paraId="5B9DC7AC"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Aplica los fundamentos teóricos, epistemológicos, metodológicos y estratégicos del currículo de Educación Inicial y preparatoria, la inclusión de la diversidad en la organización de los aprendizajes, involucrando a la comunidad educativa en el desarrollo de la personalidad del niño, así como a la identificación y solución de problemas cognitivos, afectivos y motores, para potenciar el desarrollo integral de niños de 0 a 5 años.</w:t>
      </w:r>
    </w:p>
    <w:p w14:paraId="472CF174" w14:textId="1AC13D64" w:rsidR="005B316A" w:rsidRPr="005B316A"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Además, te ofrecemos un curso gratuito sobre "DESARROLLO INTEGRAL: ESTIMULACIÓN PARA BEBÉS DE ALTO RIESGO" con una duración de 80 horas, con el que podrás especializarte en herramientas prácticas y conocimientos avanzados para la intervención temprana en bebés con factores de riesgo, potenciando su desarrollo neurológico, motor, cognitivo y socioemocional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70.00% de los maestrantes (7 personas) evidencia interés en formarse y actualizarse profesionalmente, mientras que el 30.00% restante (3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Cuando llegan a mi centro a dejar carpetas no saben presentarse, no controlan los nervios para pedir que se les considere para algún puesto</w:t>
      </w:r>
    </w:p>
    <w:p>
      <w:pPr>
        <w:spacing w:after="40" w:before="40"/>
        <w:ind w:left="360"/>
      </w:pPr>
      <w:r>
        <w:rPr>
          <w:rFonts w:ascii="Calibri" w:hAnsi="Calibri"/>
          <w:sz w:val="22"/>
        </w:rPr>
        <w:t>• No saben cambiar pañales ni sobre la alimentación, en especial de la leche de formula, no saben de la alimentación complementaria, ni de los brotes de crecimiento</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lastRenderedPageBreak/>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76C2B27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6581A">
        <w:rPr>
          <w:rFonts w:ascii="Arial" w:eastAsia="Tahoma" w:hAnsi="Arial" w:cs="Arial"/>
          <w:color w:val="000000"/>
        </w:rPr>
        <w:t>Maestría en Educación Inicial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55.56% de los empleadores califica al graduado como Muy Bueno, y el 44.44% como Bueno. Adicionalmente, el comportamiento ético y el compromiso institucional se destacan con un 66.67% y 55.56%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55,56%</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55,56%</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11,11%</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33,33%</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11,11%</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Propietario</w:t>
      </w:r>
    </w:p>
    <w:p>
      <w:pPr>
        <w:spacing w:after="40" w:before="40"/>
        <w:ind w:left="360"/>
      </w:pPr>
      <w:r>
        <w:rPr>
          <w:rFonts w:ascii="Calibri" w:hAnsi="Calibri"/>
          <w:sz w:val="22"/>
        </w:rPr>
        <w:t>• Geologo Junior</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Funciones de médica Veterinaria Consultas y Chequeos Vacunas, desparasitaciones Cirugías</w:t>
      </w:r>
    </w:p>
    <w:p>
      <w:pPr>
        <w:spacing w:after="40" w:before="40"/>
        <w:ind w:left="360"/>
      </w:pPr>
      <w:r>
        <w:rPr>
          <w:rFonts w:ascii="Calibri" w:hAnsi="Calibri"/>
          <w:sz w:val="22"/>
        </w:rPr>
        <w:t>• Exploracion interior mina Brownfield</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"CDI. La casa de las Oruguitas",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Senescy beca de inglés</w:t>
      </w:r>
    </w:p>
    <w:p>
      <w:pPr>
        <w:spacing w:after="40" w:before="40"/>
        <w:ind w:left="360"/>
      </w:pPr>
      <w:r>
        <w:rPr>
          <w:rFonts w:ascii="Calibri" w:hAnsi="Calibri"/>
          <w:sz w:val="22"/>
        </w:rPr>
        <w:t>• Unl</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Mineduc</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Senescy beca de inglés</w:t>
      </w:r>
    </w:p>
    <w:p>
      <w:pPr>
        <w:spacing w:after="40" w:before="40"/>
        <w:ind w:left="360"/>
      </w:pPr>
      <w:r>
        <w:rPr>
          <w:rFonts w:ascii="Calibri" w:hAnsi="Calibri"/>
          <w:sz w:val="22"/>
        </w:rPr>
        <w:t>• Unl</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Mineduc</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rPr>
        <w:t>Los</w:t>
      </w:r>
      <w:proofErr w:type="gramStart"/>
      <w:r w:rsidRPr="00772E78">
        <w:rPr>
          <w:rFonts w:ascii="Arial" w:eastAsia="Arial" w:hAnsi="Arial" w:cs="Arial"/>
        </w:rPr>
        <w:t xml:space="preserve"> </w:t>
      </w:r>
      <w:r w:rsidR="00772E78" w:rsidRPr="00772E78">
        <w:rPr>
          <w:rFonts w:ascii="Arial" w:eastAsia="Arial" w:hAnsi="Arial" w:cs="Arial"/>
        </w:rPr>
        <w:t>….</w:t>
      </w:r>
      <w:proofErr w:type="gramEnd"/>
      <w:r w:rsidRPr="00772E78">
        <w:rPr>
          <w:rFonts w:ascii="Arial" w:eastAsia="Arial" w:hAnsi="Arial" w:cs="Arial"/>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Cuando llegan a mi centro a dejar carpetas no saben presentarse, no controlan los nervios para pedir que se les considere para algún puesto</w:t>
      </w:r>
    </w:p>
    <w:p>
      <w:pPr>
        <w:spacing w:after="40" w:before="40"/>
        <w:ind w:left="360"/>
      </w:pPr>
      <w:r>
        <w:rPr>
          <w:rFonts w:ascii="Calibri" w:hAnsi="Calibri"/>
          <w:sz w:val="22"/>
        </w:rPr>
        <w:t>• No saben cambiar pañales ni sobre la alimentación, en especial de la leche de formula, no saben de la alimentación complementaria, ni de los brotes de crecimiento</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Cuando llegan a mi centro a dejar carpetas no saben presentarse, no controlan los nervios para pedir que se les considere para algún puesto</w:t>
      </w:r>
    </w:p>
    <w:p>
      <w:pPr>
        <w:spacing w:after="40" w:before="40"/>
        <w:ind w:left="360"/>
      </w:pPr>
      <w:r>
        <w:rPr>
          <w:rFonts w:ascii="Calibri" w:hAnsi="Calibri"/>
          <w:sz w:val="22"/>
        </w:rPr>
        <w:t>• No saben cambiar pañales ni sobre la alimentación, en especial de la leche de formula, no saben de la alimentación complementaria, ni de los brotes de crecimiento</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9 empleadores consultados no registraron información cuantificable sobre la percepción de la demanda de profesionales de la carrera en la encuesta aplicada.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D36B2">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44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D36B2"/>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8DF8AF-E19F-47D6-B75D-B5E6A70D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30</Pages>
  <Words>7851</Words>
  <Characters>43181</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341</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