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752923C5"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 xml:space="preserve">EN EDUCACIÓN CON MENCIÓN EN DOCENCIA E INVESTIGACIÓN EN EDUCACIÓN SUPERIOR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4B73881C" w:rsidR="009521C1" w:rsidRDefault="006E6885"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6E6885">
        <w:rPr>
          <w:rFonts w:ascii="Tahoma" w:eastAsia="Tahoma" w:hAnsi="Tahoma" w:cs="Tahoma"/>
          <w:color w:val="000000"/>
        </w:rPr>
        <w:t>Dr. Vicente Jacinto Riofrío Leiva</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32E37">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32E37">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32E37">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32E37">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32E37">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F1F500A" w:rsidR="00960258" w:rsidRPr="00652C9B" w:rsidRDefault="002D222E">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EN </w:t>
            </w:r>
            <w:r w:rsidR="006E6885" w:rsidRPr="006E6885">
              <w:rPr>
                <w:rFonts w:ascii="Arial" w:eastAsia="Tahoma" w:hAnsi="Arial" w:cs="Arial"/>
                <w:b/>
                <w:color w:val="000000"/>
              </w:rPr>
              <w:t>EDUCACIÓN CON MENCIÓN EN DOCENCIA E INVESTIGACIÓN EN EDUCACIÓN SUPERIOR</w:t>
            </w:r>
            <w:bookmarkEnd w:id="1"/>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31</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31</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44DCA300" w:rsidR="00960258" w:rsidRPr="00652C9B" w:rsidRDefault="00332E37"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32E37">
              <w:rPr>
                <w:rFonts w:ascii="Arial" w:eastAsia="Tahoma" w:hAnsi="Arial" w:cs="Arial"/>
                <w:color w:val="000000"/>
              </w:rPr>
              <w:t>Dr. Vicente Jacinto Riofrío Leiva.</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73D1C69B"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6E6885">
        <w:rPr>
          <w:rFonts w:ascii="Arial" w:eastAsia="Tahoma" w:hAnsi="Arial" w:cs="Arial"/>
          <w:color w:val="000000"/>
        </w:rPr>
        <w:t>Maestría en Educación con Mención en Docencia e Investigación en Educación Superior</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51CE16A7"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31.</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3AB563A"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6E6885">
        <w:rPr>
          <w:rFonts w:ascii="Arial" w:eastAsia="Tahoma" w:hAnsi="Arial" w:cs="Arial"/>
          <w:color w:val="000000"/>
        </w:rPr>
        <w:t>Maestría en Educación con Mención en Docencia e Investigación en Educación Superior</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6E6885">
        <w:rPr>
          <w:rFonts w:ascii="Arial" w:eastAsia="Tahoma" w:hAnsi="Arial" w:cs="Arial"/>
          <w:b/>
          <w:color w:val="000000"/>
        </w:rPr>
        <w:t>31</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7DC479E"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0,5*0,5*35</m:t>
                  </m:r>
                </m:num>
                <m:den>
                  <m:d>
                    <m:dPr>
                      <m:ctrlPr>
                        <w:rPr>
                          <w:rFonts w:ascii="Cambria Math" w:eastAsia="Cambria Math" w:hAnsi="Cambria Math" w:cs="Arial"/>
                        </w:rPr>
                      </m:ctrlPr>
                    </m:dPr>
                    <m:e>
                      <m:r>
                        <w:rPr>
                          <w:rFonts w:ascii="Cambria Math" w:eastAsia="Cambria Math" w:hAnsi="Cambria Math" w:cs="Arial"/>
                        </w:rPr>
                        <m:t>35-1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0CBF53A4"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6E6885">
              <w:rPr>
                <w:rFonts w:ascii="Arial" w:eastAsia="Arial" w:hAnsi="Arial" w:cs="Arial"/>
              </w:rPr>
              <w:t>31</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65376FE6"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6E6885">
        <w:rPr>
          <w:rFonts w:ascii="Arial" w:eastAsia="Tahoma" w:hAnsi="Arial" w:cs="Arial"/>
          <w:b/>
          <w:color w:val="000000"/>
        </w:rPr>
        <w:t>31</w:t>
      </w:r>
      <w:r w:rsidR="001F155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fldSimple w:instr=" SEQ Tabla \* ARABIC ">
        <w:r w:rsidR="005D60C3">
          <w:rPr>
            <w:noProof/>
          </w:rPr>
          <w:t>1</w:t>
        </w:r>
      </w:fldSimple>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31 maestrantes, con una marcada predominancia masculina (54.84%) frente a un 45.16% de mujeres. El 51.61% son solteros y los rangos de edad predominantes se sitúan entre los 26 y 35 años (51.61%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fldSimple w:instr=" SEQ Tabla \* ARABIC ">
        <w:r w:rsidR="005D60C3">
          <w:rPr>
            <w:noProof/>
          </w:rPr>
          <w:t>2</w:t>
        </w:r>
      </w:fldSimple>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17</w:t>
            </w:r>
          </w:p>
        </w:tc>
        <w:tc>
          <w:tcPr>
            <w:tcW w:w="945" w:type="pct"/>
            <w:noWrap/>
            <w:hideMark/>
          </w:tcPr>
          <w:p>
            <w:pPr>
              <w:spacing w:before="0" w:after="0"/>
              <w:jc w:val="center"/>
            </w:pPr>
            <w:r>
              <w:t>54,84%</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14</w:t>
            </w:r>
          </w:p>
        </w:tc>
        <w:tc>
          <w:tcPr>
            <w:tcW w:w="945" w:type="pct"/>
            <w:noWrap/>
            <w:hideMark/>
          </w:tcPr>
          <w:p>
            <w:pPr>
              <w:spacing w:before="0" w:after="0"/>
              <w:jc w:val="center"/>
            </w:pPr>
            <w:r>
              <w:t>45,16%</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16</w:t>
            </w:r>
          </w:p>
        </w:tc>
        <w:tc>
          <w:tcPr>
            <w:tcW w:w="945" w:type="pct"/>
            <w:noWrap/>
            <w:hideMark/>
          </w:tcPr>
          <w:p>
            <w:pPr>
              <w:spacing w:before="0" w:after="0"/>
              <w:jc w:val="center"/>
            </w:pPr>
            <w:r>
              <w:t>51,61%</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12</w:t>
            </w:r>
          </w:p>
        </w:tc>
        <w:tc>
          <w:tcPr>
            <w:tcW w:w="945" w:type="pct"/>
            <w:noWrap/>
            <w:hideMark/>
          </w:tcPr>
          <w:p>
            <w:pPr>
              <w:spacing w:before="0" w:after="0"/>
              <w:jc w:val="center"/>
            </w:pPr>
            <w:r>
              <w:t>38,71%</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2</w:t>
            </w:r>
          </w:p>
        </w:tc>
        <w:tc>
          <w:tcPr>
            <w:tcW w:w="945" w:type="pct"/>
            <w:noWrap/>
            <w:hideMark/>
          </w:tcPr>
          <w:p>
            <w:pPr>
              <w:spacing w:before="0" w:after="0"/>
              <w:jc w:val="center"/>
            </w:pPr>
            <w:r>
              <w:t>6,45%</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3,23%</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2</w:t>
            </w:r>
          </w:p>
        </w:tc>
        <w:tc>
          <w:tcPr>
            <w:tcW w:w="945" w:type="pct"/>
            <w:noWrap/>
            <w:hideMark/>
          </w:tcPr>
          <w:p>
            <w:pPr>
              <w:spacing w:before="0" w:after="0"/>
              <w:jc w:val="center"/>
            </w:pPr>
            <w:r>
              <w:t>6,45%</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9</w:t>
            </w:r>
          </w:p>
        </w:tc>
        <w:tc>
          <w:tcPr>
            <w:tcW w:w="945" w:type="pct"/>
            <w:noWrap/>
            <w:hideMark/>
          </w:tcPr>
          <w:p>
            <w:pPr>
              <w:spacing w:before="0" w:after="0"/>
              <w:jc w:val="center"/>
            </w:pPr>
            <w:r>
              <w:t>29,03%</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7</w:t>
            </w:r>
          </w:p>
        </w:tc>
        <w:tc>
          <w:tcPr>
            <w:tcW w:w="945" w:type="pct"/>
            <w:noWrap/>
            <w:hideMark/>
          </w:tcPr>
          <w:p>
            <w:pPr>
              <w:spacing w:before="0" w:after="0"/>
              <w:jc w:val="center"/>
            </w:pPr>
            <w:r>
              <w:t>22,58%</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3</w:t>
            </w:r>
          </w:p>
        </w:tc>
        <w:tc>
          <w:tcPr>
            <w:tcW w:w="945" w:type="pct"/>
            <w:noWrap/>
            <w:hideMark/>
          </w:tcPr>
          <w:p>
            <w:pPr>
              <w:spacing w:before="0" w:after="0"/>
              <w:jc w:val="center"/>
            </w:pPr>
            <w:r>
              <w:t>9,68%</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7</w:t>
            </w:r>
          </w:p>
        </w:tc>
        <w:tc>
          <w:tcPr>
            <w:tcW w:w="945" w:type="pct"/>
            <w:noWrap/>
            <w:hideMark/>
          </w:tcPr>
          <w:p>
            <w:pPr>
              <w:spacing w:before="0" w:after="0"/>
              <w:jc w:val="center"/>
            </w:pPr>
            <w:r>
              <w:t>22,58%</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3</w:t>
            </w:r>
          </w:p>
        </w:tc>
        <w:tc>
          <w:tcPr>
            <w:tcW w:w="945" w:type="pct"/>
            <w:noWrap/>
            <w:hideMark/>
          </w:tcPr>
          <w:p>
            <w:pPr>
              <w:spacing w:before="0" w:after="0"/>
              <w:jc w:val="center"/>
            </w:pPr>
            <w:r>
              <w:t>9,68%</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53A3B368"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Comprende y analiza la investigación que se realiza en la Educación Superior, en varios contextos, relacionados con el currículo, la enseñanza, el aprendizaje, la evaluación, la innovación pedagógica y la gestión educativa.</w:t>
      </w:r>
    </w:p>
    <w:p w14:paraId="4A2677F8"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Integra y aplica conocimientos pedagógicos, didácticos y curriculares en la resolución de problemas de la Educación Superior, en los nuevos escenarios y contextos de la formación profesional.</w:t>
      </w:r>
    </w:p>
    <w:p w14:paraId="40D5411B" w14:textId="77777777" w:rsidR="00376F17" w:rsidRPr="00376F17"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Crea, diseña y desarrolla proyectos de investigación educativa en las rutas cuantitativa y cualitativa, en atención a los campos de estudio, dilemas, retos y desafíos que comprende la Educación Superior en las universidades.</w:t>
      </w:r>
    </w:p>
    <w:p w14:paraId="472CF174" w14:textId="4A04685B" w:rsidR="005B316A" w:rsidRPr="005B316A" w:rsidRDefault="00376F17" w:rsidP="00376F1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76F17">
        <w:rPr>
          <w:rFonts w:ascii="Arial" w:eastAsia="Tahoma" w:hAnsi="Arial" w:cs="Arial"/>
          <w:color w:val="000000"/>
        </w:rPr>
        <w:t>Comunica las conclusiones de la investigación, a partir de los conocimientos y argumentos justificantes, para diferentes públicos, a través de diferentes medios y protocolos que utiliza la ciencia</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Pr/>
        <w:t>El 80.65% de los maestrantes (25 personas) evidencia interés en formarse y actualizarse profesionalmente, mientras que el 19.35% restante (6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fldSimple w:instr=" SEQ Tabla \* ARABIC ">
        <w:r w:rsidR="005D60C3">
          <w:rPr>
            <w:noProof/>
          </w:rPr>
          <w:t>3</w:t>
        </w:r>
      </w:fldSimple>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32,26%</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12,90%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6,45%</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6,45%</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12,90%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25,81%</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12,90%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64,52%</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pBdr>
          <w:top w:val="nil"/>
          <w:left w:val="nil"/>
          <w:bottom w:val="nil"/>
          <w:right w:val="nil"/>
          <w:between w:val="nil"/>
        </w:pBdr>
        <w:spacing w:before="240" w:after="0" w:line="240" w:lineRule="auto"/>
        <w:jc w:val="both"/>
        <w:rPr>
          <w:rFonts w:ascii="Arial" w:eastAsia="Tahoma" w:hAnsi="Arial" w:cs="Arial"/>
          <w:highlight w:val="magenta"/>
        </w:rPr>
      </w:pPr>
      <w:r>
        <w:rPr/>
        <w:t>Los empleadores consultados sugirieron las siguientes temáticas clave de capacitación y actualización profesional:</w:t>
      </w:r>
    </w:p>
    <w:bookmarkEnd w:id="23"/>
    <w:p>
      <w:pPr>
        <w:spacing w:after="40" w:before="40"/>
        <w:ind w:left="360"/>
      </w:pPr>
      <w:r>
        <w:rPr>
          <w:rFonts w:ascii="Calibri" w:hAnsi="Calibri"/>
          <w:sz w:val="22"/>
        </w:rPr>
        <w:t>• Practicas profersinales en el campo laboral</w:t>
      </w:r>
    </w:p>
    <w:p>
      <w:pPr>
        <w:spacing w:after="40" w:before="40"/>
        <w:ind w:left="360"/>
      </w:pPr>
      <w:r>
        <w:rPr>
          <w:rFonts w:ascii="Calibri" w:hAnsi="Calibri"/>
          <w:sz w:val="22"/>
        </w:rPr>
        <w:t>• Relaciones interpersonales</w:t>
      </w:r>
    </w:p>
    <w:p>
      <w:pPr>
        <w:spacing w:after="40" w:before="40"/>
        <w:ind w:left="360"/>
      </w:pPr>
      <w:r>
        <w:rPr>
          <w:rFonts w:ascii="Calibri" w:hAnsi="Calibri"/>
          <w:sz w:val="22"/>
        </w:rPr>
        <w:t>• Experiencia</w:t>
      </w:r>
    </w:p>
    <w:p>
      <w:pPr>
        <w:spacing w:after="40" w:before="40"/>
        <w:ind w:left="360"/>
      </w:pPr>
      <w:r>
        <w:rPr>
          <w:rFonts w:ascii="Calibri" w:hAnsi="Calibri"/>
          <w:sz w:val="22"/>
        </w:rPr>
        <w:t>• Normativa nacional e internacional</w:t>
      </w:r>
    </w:p>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0BACA8E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6E6885">
        <w:rPr>
          <w:rFonts w:ascii="Arial" w:eastAsia="Tahoma" w:hAnsi="Arial" w:cs="Arial"/>
          <w:color w:val="000000"/>
        </w:rPr>
        <w:t>Maestría en Educación con Mención en Docencia e Investigación en Educación Superior</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fldSimple w:instr=" SEQ Tabla \* ARABIC ">
        <w:r w:rsidR="005D60C3">
          <w:rPr>
            <w:noProof/>
          </w:rPr>
          <w:t>4</w:t>
        </w:r>
      </w:fldSimple>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3"/>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fldSimple w:instr=" SEQ Tabla \* ARABIC ">
        <w:r w:rsidR="005D60C3">
          <w:rPr>
            <w:noProof/>
          </w:rPr>
          <w:t>5</w:t>
        </w:r>
      </w:fldSimple>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100,00%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fldSimple w:instr=" SEQ Tabla \* ARABIC ">
        <w:r w:rsidR="005D60C3">
          <w:rPr>
            <w:noProof/>
          </w:rPr>
          <w:t>6</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9,68%</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9,68%</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3,23%</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16,13%</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2"/>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fldSimple w:instr=" SEQ Tabla \* ARABIC ">
        <w:r w:rsidR="005D60C3">
          <w:rPr>
            <w:noProof/>
          </w:rPr>
          <w:t>7</w:t>
        </w:r>
      </w:fldSimple>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fldSimple w:instr=" SEQ Tabla \* ARABIC ">
        <w:r w:rsidR="005D60C3">
          <w:rPr>
            <w:noProof/>
          </w:rPr>
          <w:t>8</w:t>
        </w:r>
      </w:fldSimple>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pPr>
              <w:spacing w:before="0" w:after="0"/>
              <w:jc w:val="center"/>
            </w:pPr>
            <w:r>
              <w:t>2</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pPr>
              <w:spacing w:before="0" w:after="0"/>
              <w:jc w:val="center"/>
            </w:pPr>
            <w: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100,00%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2</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100,00%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2</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100,00%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1</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50,00%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fldSimple w:instr=" SEQ Tabla \* ARABIC ">
        <w:r>
          <w:rPr>
            <w:noProof/>
          </w:rPr>
          <w:t>9</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61,29%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9,68%</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9,68%</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3,23%</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16,13%</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"Centro de atención Psicopedagogos",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fldSimple w:instr=" SEQ Tabla \* ARABIC ">
        <w:r>
          <w:rPr>
            <w:noProof/>
          </w:rPr>
          <w:t>10</w:t>
        </w:r>
      </w:fldSimple>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3,23%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6,45%</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19,35%</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19,35%</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61,29%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9"/>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Otro</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México</w:t>
      </w:r>
    </w:p>
    <w:p>
      <w:pPr>
        <w:spacing w:after="40" w:before="40"/>
        <w:ind w:left="360"/>
      </w:pPr>
      <w:r>
        <w:rPr>
          <w:rFonts w:ascii="Calibri" w:hAnsi="Calibri"/>
          <w:sz w:val="22"/>
        </w:rPr>
        <w:t>• Universidad de Panamá</w:t>
      </w:r>
    </w:p>
    <w:p>
      <w:pPr>
        <w:spacing w:after="40" w:before="40"/>
        <w:ind w:left="360"/>
      </w:pPr>
      <w:r>
        <w:rPr>
          <w:rFonts w:ascii="Calibri" w:hAnsi="Calibri"/>
          <w:sz w:val="22"/>
        </w:rPr>
        <w:t>• Udla, epunemi</w:t>
      </w:r>
    </w:p>
    <w:p>
      <w:pPr>
        <w:spacing w:after="40" w:before="40"/>
        <w:ind w:left="360"/>
      </w:pPr>
      <w:r>
        <w:rPr>
          <w:rFonts w:ascii="Calibri" w:hAnsi="Calibri"/>
          <w:sz w:val="22"/>
        </w:rPr>
        <w:t>• Ucab</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Universidad Internacional de Valencia</w:t>
      </w:r>
    </w:p>
    <w:p>
      <w:pPr>
        <w:spacing w:after="40" w:before="40"/>
        <w:ind w:left="360"/>
      </w:pPr>
      <w:r>
        <w:rPr>
          <w:rFonts w:ascii="Calibri" w:hAnsi="Calibri"/>
          <w:sz w:val="22"/>
        </w:rPr>
        <w:t>• Universidad Benito Juarez Oaxaca</w:t>
      </w:r>
    </w:p>
    <w:p>
      <w:pPr>
        <w:spacing w:after="40" w:before="40"/>
        <w:ind w:left="360"/>
      </w:pPr>
      <w:r>
        <w:rPr>
          <w:rFonts w:ascii="Calibri" w:hAnsi="Calibri"/>
          <w:sz w:val="22"/>
        </w:rPr>
        <w:t>• Unl</w:t>
      </w:r>
    </w:p>
    <w:p>
      <w:pPr>
        <w:spacing w:after="40" w:before="40"/>
        <w:ind w:left="360"/>
      </w:pPr>
      <w:r>
        <w:rPr>
          <w:rFonts w:ascii="Calibri" w:hAnsi="Calibri"/>
          <w:sz w:val="22"/>
        </w:rPr>
        <w:t>• Estoy postulando al Doctorado en Educación de la UNAE</w:t>
      </w:r>
    </w:p>
    <w:p>
      <w:pPr>
        <w:spacing w:after="40" w:before="40"/>
        <w:ind w:left="360"/>
      </w:pPr>
      <w:r>
        <w:rPr>
          <w:rFonts w:ascii="Calibri" w:hAnsi="Calibri"/>
          <w:sz w:val="22"/>
        </w:rPr>
        <w:t>• Universidad de Guayaquil</w:t>
      </w:r>
    </w:p>
    <w:p>
      <w:pPr>
        <w:spacing w:after="40" w:before="40"/>
        <w:ind w:left="360"/>
      </w:pPr>
      <w:r>
        <w:rPr>
          <w:rFonts w:ascii="Calibri" w:hAnsi="Calibri"/>
          <w:sz w:val="22"/>
        </w:rPr>
        <w:t>• Unuversidad Nacional de Loja</w:t>
      </w:r>
    </w:p>
    <w:p>
      <w:pPr>
        <w:spacing w:after="40" w:before="40"/>
        <w:ind w:left="360"/>
      </w:pPr>
      <w:r>
        <w:rPr>
          <w:rFonts w:ascii="Calibri" w:hAnsi="Calibri"/>
          <w:sz w:val="22"/>
        </w:rPr>
        <w:t>• Unir</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Otro</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México</w:t>
      </w:r>
    </w:p>
    <w:p>
      <w:pPr>
        <w:spacing w:after="40" w:before="40"/>
        <w:ind w:left="360"/>
      </w:pPr>
      <w:r>
        <w:rPr>
          <w:rFonts w:ascii="Calibri" w:hAnsi="Calibri"/>
          <w:sz w:val="22"/>
        </w:rPr>
        <w:t>• Universidad de Panamá</w:t>
      </w:r>
    </w:p>
    <w:p>
      <w:pPr>
        <w:spacing w:after="40" w:before="40"/>
        <w:ind w:left="360"/>
      </w:pPr>
      <w:r>
        <w:rPr>
          <w:rFonts w:ascii="Calibri" w:hAnsi="Calibri"/>
          <w:sz w:val="22"/>
        </w:rPr>
        <w:t>• Udla, epunemi</w:t>
      </w:r>
    </w:p>
    <w:p>
      <w:pPr>
        <w:spacing w:after="40" w:before="40"/>
        <w:ind w:left="360"/>
      </w:pPr>
      <w:r>
        <w:rPr>
          <w:rFonts w:ascii="Calibri" w:hAnsi="Calibri"/>
          <w:sz w:val="22"/>
        </w:rPr>
        <w:t>• Ucab</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Universidad Internacional de Valencia</w:t>
      </w:r>
    </w:p>
    <w:p>
      <w:pPr>
        <w:spacing w:after="40" w:before="40"/>
        <w:ind w:left="360"/>
      </w:pPr>
      <w:r>
        <w:rPr>
          <w:rFonts w:ascii="Calibri" w:hAnsi="Calibri"/>
          <w:sz w:val="22"/>
        </w:rPr>
        <w:t>• Universidad Benito Juarez Oaxaca</w:t>
      </w:r>
    </w:p>
    <w:p>
      <w:pPr>
        <w:spacing w:after="40" w:before="40"/>
        <w:ind w:left="360"/>
      </w:pPr>
      <w:r>
        <w:rPr>
          <w:rFonts w:ascii="Calibri" w:hAnsi="Calibri"/>
          <w:sz w:val="22"/>
        </w:rPr>
        <w:t>• Unl</w:t>
      </w:r>
    </w:p>
    <w:p>
      <w:pPr>
        <w:spacing w:after="40" w:before="40"/>
        <w:ind w:left="360"/>
      </w:pPr>
      <w:r>
        <w:rPr>
          <w:rFonts w:ascii="Calibri" w:hAnsi="Calibri"/>
          <w:sz w:val="22"/>
        </w:rPr>
        <w:t>• Estoy postulando al Doctorado en Educación de la UNAE</w:t>
      </w:r>
    </w:p>
    <w:p>
      <w:pPr>
        <w:spacing w:after="40" w:before="40"/>
        <w:ind w:left="360"/>
      </w:pPr>
      <w:r>
        <w:rPr>
          <w:rFonts w:ascii="Calibri" w:hAnsi="Calibri"/>
          <w:sz w:val="22"/>
        </w:rPr>
        <w:t>• Universidad de Guayaquil</w:t>
      </w:r>
    </w:p>
    <w:p>
      <w:pPr>
        <w:spacing w:after="40" w:before="40"/>
        <w:ind w:left="360"/>
      </w:pPr>
      <w:r>
        <w:rPr>
          <w:rFonts w:ascii="Calibri" w:hAnsi="Calibri"/>
          <w:sz w:val="22"/>
        </w:rPr>
        <w:t>• Unuversidad Nacional de Loja</w:t>
      </w:r>
    </w:p>
    <w:p>
      <w:pPr>
        <w:spacing w:after="40" w:before="40"/>
        <w:ind w:left="360"/>
      </w:pPr>
      <w:r>
        <w:rPr>
          <w:rFonts w:ascii="Calibri" w:hAnsi="Calibri"/>
          <w:sz w:val="22"/>
        </w:rPr>
        <w:t>• Unir</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60"/>
    </w:p>
    <w:p w14:paraId="6EF1B196" w14:textId="05A1E4A3" w:rsidR="00960258" w:rsidRDefault="00680895" w:rsidP="00772E78">
      <w:pPr>
        <w:spacing w:before="80" w:after="80" w:line="276" w:lineRule="auto"/>
        <w:jc w:val="both"/>
        <w:rPr>
          <w:rFonts w:ascii="Arial" w:eastAsia="Arial" w:hAnsi="Arial" w:cs="Arial"/>
        </w:rPr>
      </w:pPr>
      <w:r>
        <w:rPr/>
        <w:t>Los datos muestran que el 100.00% (2 personas) recibió apoyo total, el 0.00% (0 personas) indica apoyo parcial, mientras que el 0.00% (0 personas) no contó con ningún tipo de apoyo institucional.</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jc w:val="both"/>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Practicas profersinales en el campo laboral</w:t>
      </w:r>
    </w:p>
    <w:p>
      <w:pPr>
        <w:spacing w:after="40" w:before="40"/>
        <w:ind w:left="360"/>
      </w:pPr>
      <w:r>
        <w:rPr>
          <w:rFonts w:ascii="Calibri" w:hAnsi="Calibri"/>
          <w:sz w:val="22"/>
        </w:rPr>
        <w:t>• Relaciones interpersonales</w:t>
      </w:r>
    </w:p>
    <w:p>
      <w:pPr>
        <w:spacing w:after="40" w:before="40"/>
        <w:ind w:left="360"/>
      </w:pPr>
      <w:r>
        <w:rPr>
          <w:rFonts w:ascii="Calibri" w:hAnsi="Calibri"/>
          <w:sz w:val="22"/>
        </w:rPr>
        <w:t>• Experiencia</w:t>
      </w:r>
    </w:p>
    <w:p>
      <w:pPr>
        <w:spacing w:after="40" w:before="40"/>
        <w:ind w:left="360"/>
      </w:pPr>
      <w:r>
        <w:rPr>
          <w:rFonts w:ascii="Calibri" w:hAnsi="Calibri"/>
          <w:sz w:val="22"/>
        </w:rPr>
        <w:t>• Normativa nacional e internacional</w:t>
      </w:r>
    </w:p>
    <w:p w14:paraId="0FC6366B" w14:textId="21DDA17A" w:rsidR="00A40C22" w:rsidRDefault="00A40C22">
      <w:pPr>
        <w:rPr>
          <w:rFonts w:ascii="Arial" w:eastAsia="Tahoma" w:hAnsi="Arial"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Practicas profersinales en el campo laboral</w:t>
      </w:r>
    </w:p>
    <w:p>
      <w:pPr>
        <w:spacing w:after="40" w:before="40"/>
        <w:ind w:left="360"/>
      </w:pPr>
      <w:r>
        <w:rPr>
          <w:rFonts w:ascii="Calibri" w:hAnsi="Calibri"/>
          <w:sz w:val="22"/>
        </w:rPr>
        <w:t>• Relaciones interpersonales</w:t>
      </w:r>
    </w:p>
    <w:p>
      <w:pPr>
        <w:spacing w:after="40" w:before="40"/>
        <w:ind w:left="360"/>
      </w:pPr>
      <w:r>
        <w:rPr>
          <w:rFonts w:ascii="Calibri" w:hAnsi="Calibri"/>
          <w:sz w:val="22"/>
        </w:rPr>
        <w:t>• Experiencia</w:t>
      </w:r>
    </w:p>
    <w:p>
      <w:pPr>
        <w:spacing w:after="40" w:before="40"/>
        <w:ind w:left="360"/>
      </w:pPr>
      <w:r>
        <w:rPr>
          <w:rFonts w:ascii="Calibri" w:hAnsi="Calibri"/>
          <w:sz w:val="22"/>
        </w:rPr>
        <w:t>• Normativa nacional e internacional</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fldSimple w:instr=" SEQ Tabla \* ARABIC ">
        <w:r>
          <w:rPr>
            <w:noProof/>
          </w:rPr>
          <w:t>11</w:t>
        </w:r>
      </w:fldSimple>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29,03%</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15</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48,39%</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16,13%</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2</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6,45%</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Pr/>
        <w:t>De los 2 empleadores consultados, el 0.00% (0 empleadores) considera que la demanda es Alta, y el 100.00% (2 empleadores) la califica como Media. Esta distribución refleja una opinión mayoritariamente positiva del sector empleador respecto a las oportunidades de inserción laboral.</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32E37">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114422DF">
              <wp:simplePos x="0" y="0"/>
              <wp:positionH relativeFrom="column">
                <wp:posOffset>4413885</wp:posOffset>
              </wp:positionH>
              <wp:positionV relativeFrom="paragraph">
                <wp:posOffset>-221615</wp:posOffset>
              </wp:positionV>
              <wp:extent cx="1722120" cy="845820"/>
              <wp:effectExtent l="0" t="0" r="0" b="0"/>
              <wp:wrapNone/>
              <wp:docPr id="28" name=""/>
              <wp:cNvGraphicFramePr/>
              <a:graphic xmlns:a="http://schemas.openxmlformats.org/drawingml/2006/main">
                <a:graphicData uri="http://schemas.microsoft.com/office/word/2010/wordprocessingShape">
                  <wps:wsp>
                    <wps:cNvSpPr/>
                    <wps:spPr>
                      <a:xfrm>
                        <a:off x="0" y="0"/>
                        <a:ext cx="1722120" cy="845820"/>
                      </a:xfrm>
                      <a:prstGeom prst="rect">
                        <a:avLst/>
                      </a:prstGeom>
                      <a:solidFill>
                        <a:schemeClr val="lt1"/>
                      </a:solidFill>
                      <a:ln>
                        <a:noFill/>
                      </a:ln>
                    </wps:spPr>
                    <wps:txbx>
                      <w:txbxContent>
                        <w:p w14:paraId="37AC346D" w14:textId="7C9A59F5"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E6885" w:rsidRPr="006E6885">
                            <w:rPr>
                              <w:rFonts w:ascii="Century Gothic" w:eastAsia="Century Gothic" w:hAnsi="Century Gothic" w:cs="Century Gothic"/>
                              <w:b/>
                              <w:color w:val="000000"/>
                              <w:sz w:val="20"/>
                            </w:rPr>
                            <w:t xml:space="preserve">Docencia </w:t>
                          </w:r>
                          <w:r w:rsidR="006E6885">
                            <w:rPr>
                              <w:rFonts w:ascii="Century Gothic" w:eastAsia="Century Gothic" w:hAnsi="Century Gothic" w:cs="Century Gothic"/>
                              <w:b/>
                              <w:color w:val="000000"/>
                              <w:sz w:val="20"/>
                            </w:rPr>
                            <w:t xml:space="preserve">e </w:t>
                          </w:r>
                          <w:r w:rsidR="006E6885" w:rsidRPr="006E6885">
                            <w:rPr>
                              <w:rFonts w:ascii="Century Gothic" w:eastAsia="Century Gothic" w:hAnsi="Century Gothic" w:cs="Century Gothic"/>
                              <w:b/>
                              <w:color w:val="000000"/>
                              <w:sz w:val="20"/>
                            </w:rPr>
                            <w:t xml:space="preserve">Investigación </w:t>
                          </w:r>
                          <w:r w:rsidR="006E6885">
                            <w:rPr>
                              <w:rFonts w:ascii="Century Gothic" w:eastAsia="Century Gothic" w:hAnsi="Century Gothic" w:cs="Century Gothic"/>
                              <w:b/>
                              <w:color w:val="000000"/>
                              <w:sz w:val="20"/>
                            </w:rPr>
                            <w:t xml:space="preserve">en </w:t>
                          </w:r>
                          <w:r w:rsidR="006E6885" w:rsidRPr="006E6885">
                            <w:rPr>
                              <w:rFonts w:ascii="Century Gothic" w:eastAsia="Century Gothic" w:hAnsi="Century Gothic" w:cs="Century Gothic"/>
                              <w:b/>
                              <w:color w:val="000000"/>
                              <w:sz w:val="20"/>
                            </w:rPr>
                            <w:t>Educación Superior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17.45pt;width:135.6pt;height:6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" fillcolor="white [3201]" stroked="f">
              <v:textbox inset="2.53958mm,1.2694mm,2.53958mm,1.2694mm">
                <w:txbxContent>
                  <w:p w14:paraId="37AC346D" w14:textId="7C9A59F5"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E6885" w:rsidRPr="006E6885">
                      <w:rPr>
                        <w:rFonts w:ascii="Century Gothic" w:eastAsia="Century Gothic" w:hAnsi="Century Gothic" w:cs="Century Gothic"/>
                        <w:b/>
                        <w:color w:val="000000"/>
                        <w:sz w:val="20"/>
                      </w:rPr>
                      <w:t xml:space="preserve">Docencia </w:t>
                    </w:r>
                    <w:r w:rsidR="006E6885">
                      <w:rPr>
                        <w:rFonts w:ascii="Century Gothic" w:eastAsia="Century Gothic" w:hAnsi="Century Gothic" w:cs="Century Gothic"/>
                        <w:b/>
                        <w:color w:val="000000"/>
                        <w:sz w:val="20"/>
                      </w:rPr>
                      <w:t xml:space="preserve">e </w:t>
                    </w:r>
                    <w:r w:rsidR="006E6885" w:rsidRPr="006E6885">
                      <w:rPr>
                        <w:rFonts w:ascii="Century Gothic" w:eastAsia="Century Gothic" w:hAnsi="Century Gothic" w:cs="Century Gothic"/>
                        <w:b/>
                        <w:color w:val="000000"/>
                        <w:sz w:val="20"/>
                      </w:rPr>
                      <w:t xml:space="preserve">Investigación </w:t>
                    </w:r>
                    <w:r w:rsidR="006E6885">
                      <w:rPr>
                        <w:rFonts w:ascii="Century Gothic" w:eastAsia="Century Gothic" w:hAnsi="Century Gothic" w:cs="Century Gothic"/>
                        <w:b/>
                        <w:color w:val="000000"/>
                        <w:sz w:val="20"/>
                      </w:rPr>
                      <w:t xml:space="preserve">en </w:t>
                    </w:r>
                    <w:r w:rsidR="006E6885" w:rsidRPr="006E6885">
                      <w:rPr>
                        <w:rFonts w:ascii="Century Gothic" w:eastAsia="Century Gothic" w:hAnsi="Century Gothic" w:cs="Century Gothic"/>
                        <w:b/>
                        <w:color w:val="000000"/>
                        <w:sz w:val="20"/>
                      </w:rPr>
                      <w:t>Educación Superior</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32E37"/>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67BEFA7-4585-4915-9BC4-F1BE5A77B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2596</TotalTime>
  <Pages>30</Pages>
  <Words>7807</Words>
  <Characters>42939</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345</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