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F6A3E" w14:textId="77777777" w:rsidR="007B2816" w:rsidRDefault="00000000">
      <w:pPr>
        <w:pBdr>
          <w:top w:val="none" w:sz="4" w:space="0" w:color="000000"/>
          <w:left w:val="none" w:sz="4" w:space="0" w:color="000000"/>
          <w:bottom w:val="none" w:sz="4" w:space="0" w:color="000000"/>
          <w:right w:val="none" w:sz="4" w:space="0" w:color="000000"/>
        </w:pBdr>
        <w:jc w:val="both"/>
      </w:pPr>
      <w:r>
        <w:rPr>
          <w:rFonts w:ascii="Times New Roman" w:eastAsia="Times New Roman" w:hAnsi="Times New Roman" w:cs="Times New Roman"/>
          <w:b/>
          <w:color w:val="000000"/>
          <w:sz w:val="24"/>
        </w:rPr>
        <w:t>1. Título</w:t>
      </w:r>
    </w:p>
    <w:p w14:paraId="6ACBAE87" w14:textId="77777777" w:rsidR="007B2816" w:rsidRDefault="00000000">
      <w:pPr>
        <w:pBdr>
          <w:top w:val="none" w:sz="4" w:space="0" w:color="000000"/>
          <w:left w:val="none" w:sz="4" w:space="0" w:color="000000"/>
          <w:bottom w:val="none" w:sz="4" w:space="0" w:color="000000"/>
          <w:right w:val="none" w:sz="4" w:space="0" w:color="000000"/>
        </w:pBdr>
        <w:jc w:val="both"/>
      </w:pPr>
      <w:r>
        <w:rPr>
          <w:rFonts w:ascii="Times New Roman" w:eastAsia="Times New Roman" w:hAnsi="Times New Roman" w:cs="Times New Roman"/>
          <w:color w:val="000000"/>
          <w:sz w:val="24"/>
        </w:rPr>
        <w:t>"Determinantes de la doble condición de subempleo e informalidad laboral en el Ecuador, 2021-2025"</w:t>
      </w:r>
    </w:p>
    <w:p w14:paraId="22F3615D" w14:textId="77777777" w:rsidR="007B2816" w:rsidRDefault="00000000">
      <w:pPr>
        <w:pBdr>
          <w:top w:val="none" w:sz="4" w:space="0" w:color="000000"/>
          <w:left w:val="none" w:sz="4" w:space="0" w:color="000000"/>
          <w:bottom w:val="none" w:sz="4" w:space="0" w:color="000000"/>
          <w:right w:val="none" w:sz="4" w:space="0" w:color="000000"/>
        </w:pBdr>
        <w:jc w:val="both"/>
      </w:pPr>
      <w:r>
        <w:rPr>
          <w:rFonts w:ascii="Times New Roman" w:eastAsia="Times New Roman" w:hAnsi="Times New Roman" w:cs="Times New Roman"/>
          <w:b/>
          <w:color w:val="000000"/>
          <w:sz w:val="24"/>
        </w:rPr>
        <w:t>2. Problema de Investigación</w:t>
      </w:r>
    </w:p>
    <w:p w14:paraId="6DEAEB0C" w14:textId="77777777" w:rsidR="007B2816" w:rsidRDefault="00000000">
      <w:pPr>
        <w:pBdr>
          <w:top w:val="none" w:sz="4" w:space="0" w:color="000000"/>
          <w:left w:val="none" w:sz="4" w:space="0" w:color="000000"/>
          <w:bottom w:val="none" w:sz="4" w:space="0" w:color="000000"/>
          <w:right w:val="none" w:sz="4" w:space="0" w:color="000000"/>
        </w:pBdr>
        <w:jc w:val="both"/>
      </w:pPr>
      <w:r>
        <w:rPr>
          <w:rFonts w:ascii="Times New Roman" w:eastAsia="Times New Roman" w:hAnsi="Times New Roman" w:cs="Times New Roman"/>
          <w:color w:val="000000"/>
          <w:sz w:val="24"/>
        </w:rPr>
        <w:t xml:space="preserve">En Ecuador, al cuarto trimestre de 2024, el 21,95% de la población ocupada se encontraba en condición de subempleo y el 58,0% carecía de afiliación a la seguridad social (INEC, 2025). La coexistencia de ambas condiciones en una misma persona configura un estado de vulnerabilidad que los indicadores univariados no capturan por separado: en ese año, la doble condición afectó al 15,86% de la población ocupada </w:t>
      </w:r>
      <w:commentRangeStart w:id="0"/>
      <w:r>
        <w:rPr>
          <w:rFonts w:ascii="Times New Roman" w:eastAsia="Times New Roman" w:hAnsi="Times New Roman" w:cs="Times New Roman"/>
          <w:color w:val="000000"/>
          <w:sz w:val="24"/>
        </w:rPr>
        <w:t xml:space="preserve">según cálculos propios a partir de la ENEMDU. </w:t>
      </w:r>
      <w:commentRangeEnd w:id="0"/>
      <w:r w:rsidR="000900DB">
        <w:rPr>
          <w:rStyle w:val="Refdecomentario"/>
          <w:rFonts w:ascii="Times New Roman" w:eastAsia="Times New Roman" w:hAnsi="Times New Roman" w:cs="Times New Roman"/>
          <w:color w:val="000000"/>
          <w:sz w:val="24"/>
          <w:szCs w:val="22"/>
        </w:rPr>
        <w:commentReference w:id="0"/>
      </w:r>
      <w:r>
        <w:rPr>
          <w:rFonts w:ascii="Times New Roman" w:eastAsia="Times New Roman" w:hAnsi="Times New Roman" w:cs="Times New Roman"/>
          <w:color w:val="000000"/>
          <w:sz w:val="24"/>
        </w:rPr>
        <w:t>La política de empleo en el país ha operado sobre cada dimensión de forma aislada, sin evidencia sobre cuáles son los factores que determinan la probabilidad conjunta de estar en ambas condiciones simultáneamente.</w:t>
      </w:r>
    </w:p>
    <w:p w14:paraId="68482963" w14:textId="77777777" w:rsidR="007B2816" w:rsidRDefault="00000000">
      <w:pPr>
        <w:pBdr>
          <w:top w:val="none" w:sz="4" w:space="0" w:color="000000"/>
          <w:left w:val="none" w:sz="4" w:space="0" w:color="000000"/>
          <w:bottom w:val="none" w:sz="4" w:space="0" w:color="000000"/>
          <w:right w:val="none" w:sz="4" w:space="0" w:color="000000"/>
        </w:pBdr>
        <w:jc w:val="both"/>
      </w:pPr>
      <w:commentRangeStart w:id="1"/>
      <w:r>
        <w:rPr>
          <w:rFonts w:ascii="Times New Roman" w:eastAsia="Times New Roman" w:hAnsi="Times New Roman" w:cs="Times New Roman"/>
          <w:color w:val="000000"/>
          <w:sz w:val="24"/>
        </w:rPr>
        <w:t>La persistencia de esta condición responde, en parte, a una estructura de incentivos que penaliza la formalización para los trabajadores de menor productividad relativa. Ulyssea (2018) documenta que en economías latinoamericanas con regulación laboral similar a la ecuatoriana, las cargas fiscales y de seguridad social sobre el empleador actúan como barreras de entrada al empleo formal en los márgenes extensivos e intensivos. En Ecuador, el costo no salarial del empleo formal representa aproximadamente el 12,15% del salario bruto en aportaciones patronales al IESS, lo que concentra la exclusión en los segmentos de menor productividad.</w:t>
      </w:r>
      <w:commentRangeEnd w:id="1"/>
      <w:r w:rsidR="000900DB">
        <w:rPr>
          <w:rStyle w:val="Refdecomentario"/>
          <w:sz w:val="22"/>
          <w:szCs w:val="22"/>
        </w:rPr>
        <w:commentReference w:id="1"/>
      </w:r>
    </w:p>
    <w:p w14:paraId="3368A8E3" w14:textId="77777777" w:rsidR="007B2816" w:rsidRDefault="00000000">
      <w:pPr>
        <w:pBdr>
          <w:top w:val="none" w:sz="4" w:space="0" w:color="000000"/>
          <w:left w:val="none" w:sz="4" w:space="0" w:color="000000"/>
          <w:bottom w:val="none" w:sz="4" w:space="0" w:color="000000"/>
          <w:right w:val="none" w:sz="4" w:space="0" w:color="000000"/>
        </w:pBdr>
        <w:jc w:val="both"/>
      </w:pPr>
      <w:r>
        <w:rPr>
          <w:rFonts w:ascii="Times New Roman" w:eastAsia="Times New Roman" w:hAnsi="Times New Roman" w:cs="Times New Roman"/>
          <w:color w:val="000000"/>
          <w:sz w:val="24"/>
        </w:rPr>
        <w:t>La exclusión es desigual por demografía. La tasa de desempleo entre jóvenes de 18 a 29 años alcanzó el 9,24% en 2024, y el 66,2% de las mujeres jóvenes ocupadas se encontraba en condición de precariedad laboral (Children International &amp; Empleo Joven Ecuador, 2024; Ministerio del Trabajo, 2025). Berniell et al. (2021) estima, para seis países latinoamericanos, que el nacimiento del primer hijo reduce la tasa de empleo formal femenino entre 20 y 30 puntos porcentuales en los cuatro años siguientes, efecto que en Ecuador opera sobre una red de cuidado pública insuficiente, donde la cobertura de guarderías públicas alcanza solo al 13% de niños menores de tres años.</w:t>
      </w:r>
    </w:p>
    <w:p w14:paraId="5123D1D9" w14:textId="77777777" w:rsidR="007B2816" w:rsidRDefault="00000000">
      <w:pPr>
        <w:pBdr>
          <w:top w:val="none" w:sz="4" w:space="0" w:color="000000"/>
          <w:left w:val="none" w:sz="4" w:space="0" w:color="000000"/>
          <w:bottom w:val="none" w:sz="4" w:space="0" w:color="000000"/>
          <w:right w:val="none" w:sz="4" w:space="0" w:color="000000"/>
        </w:pBdr>
        <w:jc w:val="both"/>
      </w:pPr>
      <w:r>
        <w:rPr>
          <w:rFonts w:ascii="Times New Roman" w:eastAsia="Times New Roman" w:hAnsi="Times New Roman" w:cs="Times New Roman"/>
          <w:color w:val="000000"/>
          <w:sz w:val="24"/>
        </w:rPr>
        <w:t xml:space="preserve">El vínculo entre productividad e informalidad opera también por el lado de los </w:t>
      </w:r>
      <w:r w:rsidRPr="000900DB">
        <w:rPr>
          <w:rFonts w:ascii="Times New Roman" w:eastAsia="Times New Roman" w:hAnsi="Times New Roman" w:cs="Times New Roman"/>
          <w:color w:val="000000"/>
          <w:sz w:val="24"/>
          <w:highlight w:val="yellow"/>
        </w:rPr>
        <w:t xml:space="preserve">salarios </w:t>
      </w:r>
      <w:commentRangeStart w:id="2"/>
      <w:r w:rsidRPr="000900DB">
        <w:rPr>
          <w:rFonts w:ascii="Times New Roman" w:eastAsia="Times New Roman" w:hAnsi="Times New Roman" w:cs="Times New Roman"/>
          <w:color w:val="000000"/>
          <w:sz w:val="24"/>
          <w:highlight w:val="yellow"/>
        </w:rPr>
        <w:t>mínimos</w:t>
      </w:r>
      <w:commentRangeEnd w:id="2"/>
      <w:r w:rsidR="000900DB" w:rsidRPr="000900DB">
        <w:rPr>
          <w:rStyle w:val="Refdecomentario"/>
          <w:rFonts w:ascii="Times New Roman" w:eastAsia="Times New Roman" w:hAnsi="Times New Roman" w:cs="Times New Roman"/>
          <w:color w:val="000000"/>
          <w:sz w:val="24"/>
          <w:szCs w:val="22"/>
          <w:highlight w:val="yellow"/>
        </w:rPr>
        <w:commentReference w:id="2"/>
      </w:r>
      <w:r w:rsidRPr="000900DB">
        <w:rPr>
          <w:rFonts w:ascii="Times New Roman" w:eastAsia="Times New Roman" w:hAnsi="Times New Roman" w:cs="Times New Roman"/>
          <w:color w:val="000000"/>
          <w:sz w:val="24"/>
          <w:highlight w:val="yellow"/>
        </w:rPr>
        <w:t>.</w:t>
      </w:r>
      <w:r>
        <w:rPr>
          <w:rFonts w:ascii="Times New Roman" w:eastAsia="Times New Roman" w:hAnsi="Times New Roman" w:cs="Times New Roman"/>
          <w:color w:val="000000"/>
          <w:sz w:val="24"/>
        </w:rPr>
        <w:t xml:space="preserve"> Parente (2024), utilizando datos de Brasil y Ecuador, muestra que incrementos del salario mínimo superiores al 5% anual sin ganancias equivalentes de productividad aumentan en 3,2 puntos porcentuales la probabilidad de que las firmas mantengan la relación laboral sin afiliación al seguro social. </w:t>
      </w:r>
      <w:commentRangeStart w:id="3"/>
      <w:r>
        <w:rPr>
          <w:rFonts w:ascii="Times New Roman" w:eastAsia="Times New Roman" w:hAnsi="Times New Roman" w:cs="Times New Roman"/>
          <w:color w:val="000000"/>
          <w:sz w:val="24"/>
        </w:rPr>
        <w:t>La brecha entre el Salario Básico Unificado vigente y la productividad media de los sectores con mayor presencia informal (comercio, agricultura y construcción) opera como barrera de entrada a la formalización para los trabajadores de baja calificación en provincias con escasa diversificación productiva.</w:t>
      </w:r>
      <w:commentRangeEnd w:id="3"/>
      <w:r w:rsidR="000900DB">
        <w:rPr>
          <w:rStyle w:val="Refdecomentario"/>
          <w:sz w:val="22"/>
          <w:szCs w:val="22"/>
        </w:rPr>
        <w:commentReference w:id="3"/>
      </w:r>
    </w:p>
    <w:p w14:paraId="66365350" w14:textId="77777777" w:rsidR="007B2816" w:rsidRDefault="00000000">
      <w:pPr>
        <w:pBdr>
          <w:top w:val="none" w:sz="4" w:space="0" w:color="000000"/>
          <w:left w:val="none" w:sz="4" w:space="0" w:color="000000"/>
          <w:bottom w:val="none" w:sz="4" w:space="0" w:color="000000"/>
          <w:right w:val="none" w:sz="4" w:space="0" w:color="000000"/>
        </w:pBdr>
        <w:jc w:val="both"/>
      </w:pPr>
      <w:r>
        <w:rPr>
          <w:rFonts w:ascii="Times New Roman" w:eastAsia="Times New Roman" w:hAnsi="Times New Roman" w:cs="Times New Roman"/>
          <w:color w:val="000000"/>
          <w:sz w:val="24"/>
        </w:rPr>
        <w:t xml:space="preserve">Esta arquitectura de incentivos ha sido poco estudiada desde la perspectiva de la simultaneidad. Estudios previos como Pontarollo et al. (2019) analizan los determinantes de la informalidad en Ecuador, pero sin modelar la dimensión de insuficiencia horaria. La omisión del sesgo de selección en participación laboral (el trabajador que opta por la inactividad ante el desánimo) </w:t>
      </w:r>
      <w:r>
        <w:rPr>
          <w:rFonts w:ascii="Times New Roman" w:eastAsia="Times New Roman" w:hAnsi="Times New Roman" w:cs="Times New Roman"/>
          <w:color w:val="000000"/>
          <w:sz w:val="24"/>
        </w:rPr>
        <w:lastRenderedPageBreak/>
        <w:t>subestima la magnitud del fenómeno en los quintiles de ingreso más bajos y en las zonas rurales, donde la ENEMDU registra tasas de inactividad superiores al 35% entre mujeres en edad de trabajar (INEC, 2025).</w:t>
      </w:r>
    </w:p>
    <w:p w14:paraId="4D2709F7" w14:textId="77777777" w:rsidR="007B2816" w:rsidRDefault="00000000">
      <w:pPr>
        <w:pBdr>
          <w:top w:val="none" w:sz="4" w:space="0" w:color="000000"/>
          <w:left w:val="none" w:sz="4" w:space="0" w:color="000000"/>
          <w:bottom w:val="none" w:sz="4" w:space="0" w:color="000000"/>
          <w:right w:val="none" w:sz="4" w:space="0" w:color="000000"/>
        </w:pBdr>
        <w:jc w:val="both"/>
      </w:pPr>
      <w:r>
        <w:rPr>
          <w:rFonts w:ascii="Times New Roman" w:eastAsia="Times New Roman" w:hAnsi="Times New Roman" w:cs="Times New Roman"/>
          <w:color w:val="000000"/>
          <w:sz w:val="24"/>
        </w:rPr>
        <w:t>Estimar la probabilidad conjunta de ambos estados, con control por sesgo de selección muestral, permite identificar los mecanismos específicos (educación, género, tenencia de hijos, zona geográfica, estructura del hogar) que concentran la vulnerabilidad. Esa evidencia es la que sustenta el diseño de intervenciones focalizadas.</w:t>
      </w:r>
    </w:p>
    <w:p w14:paraId="6DB623C4" w14:textId="77777777" w:rsidR="007B2816" w:rsidRDefault="00000000">
      <w:pPr>
        <w:pBdr>
          <w:top w:val="none" w:sz="4" w:space="0" w:color="000000"/>
          <w:left w:val="none" w:sz="4" w:space="0" w:color="000000"/>
          <w:bottom w:val="none" w:sz="4" w:space="0" w:color="000000"/>
          <w:right w:val="none" w:sz="4" w:space="0" w:color="000000"/>
        </w:pBdr>
        <w:jc w:val="both"/>
      </w:pPr>
      <w:r>
        <w:rPr>
          <w:rFonts w:ascii="Times New Roman" w:eastAsia="Times New Roman" w:hAnsi="Times New Roman" w:cs="Times New Roman"/>
          <w:color w:val="000000"/>
          <w:sz w:val="24"/>
        </w:rPr>
        <w:t>Bajo este contexto, se plantea la siguiente interrogante de investigación:</w:t>
      </w:r>
    </w:p>
    <w:p w14:paraId="7F870AA3" w14:textId="77777777" w:rsidR="007B2816" w:rsidRDefault="00000000">
      <w:pPr>
        <w:pBdr>
          <w:top w:val="none" w:sz="4" w:space="0" w:color="000000"/>
          <w:left w:val="none" w:sz="4" w:space="0" w:color="000000"/>
          <w:bottom w:val="none" w:sz="4" w:space="0" w:color="000000"/>
          <w:right w:val="none" w:sz="4" w:space="0" w:color="000000"/>
        </w:pBdr>
        <w:jc w:val="both"/>
      </w:pPr>
      <w:commentRangeStart w:id="4"/>
      <w:commentRangeStart w:id="5"/>
      <w:r>
        <w:rPr>
          <w:rFonts w:ascii="Times New Roman" w:eastAsia="Times New Roman" w:hAnsi="Times New Roman" w:cs="Times New Roman"/>
          <w:color w:val="000000"/>
          <w:sz w:val="24"/>
        </w:rPr>
        <w:t>¿Qué factores individuales y del hogar se asocian con la probabilidad de que una persona ocupada en Ecuador se encuentre simultáneamente en subempleo y sin cobertura de seguridad social durante el periodo 2021-2025?</w:t>
      </w:r>
      <w:commentRangeEnd w:id="4"/>
      <w:r w:rsidR="000900DB">
        <w:rPr>
          <w:rStyle w:val="Refdecomentario"/>
          <w:sz w:val="22"/>
          <w:szCs w:val="22"/>
        </w:rPr>
        <w:commentReference w:id="4"/>
      </w:r>
      <w:commentRangeEnd w:id="5"/>
      <w:r w:rsidR="001D77CE">
        <w:rPr>
          <w:rStyle w:val="Refdecomentario"/>
          <w:sz w:val="22"/>
          <w:szCs w:val="22"/>
        </w:rPr>
        <w:commentReference w:id="5"/>
      </w:r>
    </w:p>
    <w:p w14:paraId="7AB019E7" w14:textId="77777777" w:rsidR="007B2816" w:rsidRDefault="00000000">
      <w:pPr>
        <w:pBdr>
          <w:top w:val="none" w:sz="4" w:space="0" w:color="000000"/>
          <w:left w:val="none" w:sz="4" w:space="0" w:color="000000"/>
          <w:bottom w:val="none" w:sz="4" w:space="0" w:color="000000"/>
          <w:right w:val="none" w:sz="4" w:space="0" w:color="000000"/>
        </w:pBdr>
        <w:jc w:val="both"/>
      </w:pPr>
      <w:r>
        <w:rPr>
          <w:rFonts w:ascii="Times New Roman" w:eastAsia="Times New Roman" w:hAnsi="Times New Roman" w:cs="Times New Roman"/>
          <w:b/>
          <w:color w:val="000000"/>
          <w:sz w:val="24"/>
        </w:rPr>
        <w:t>3. Justificación</w:t>
      </w:r>
    </w:p>
    <w:p w14:paraId="50DEBB83" w14:textId="77777777" w:rsidR="007B2816" w:rsidRDefault="00000000">
      <w:pPr>
        <w:pBdr>
          <w:top w:val="none" w:sz="4" w:space="0" w:color="000000"/>
          <w:left w:val="none" w:sz="4" w:space="0" w:color="000000"/>
          <w:bottom w:val="none" w:sz="4" w:space="0" w:color="000000"/>
          <w:right w:val="none" w:sz="4" w:space="0" w:color="000000"/>
        </w:pBdr>
        <w:jc w:val="both"/>
      </w:pPr>
      <w:r>
        <w:rPr>
          <w:rFonts w:ascii="Times New Roman" w:eastAsia="Times New Roman" w:hAnsi="Times New Roman" w:cs="Times New Roman"/>
          <w:color w:val="000000"/>
          <w:sz w:val="24"/>
        </w:rPr>
        <w:t>Al cuarto trimestre de 2024, Ecuador registra 3,2 millones de trabajadores en condición de informalidad laboral y 1,8 millones en subempleo (INEC, 2025). La coincidencia de ambos estados en una misma persona implica ausencia simultánea de cobertura social y subutilización del tiempo de trabajo, lo que reduce los retornos individuales al capital humano y limita la base tributaria que financia el gasto social. Estimar con precisión los determinantes de esta probabilidad conjunta es una precondición para el diseño de intervenciones focalizadas.</w:t>
      </w:r>
    </w:p>
    <w:p w14:paraId="0BCC6F87" w14:textId="77777777" w:rsidR="007B2816" w:rsidRDefault="00000000">
      <w:pPr>
        <w:pBdr>
          <w:top w:val="none" w:sz="4" w:space="0" w:color="000000"/>
          <w:left w:val="none" w:sz="4" w:space="0" w:color="000000"/>
          <w:bottom w:val="none" w:sz="4" w:space="0" w:color="000000"/>
          <w:right w:val="none" w:sz="4" w:space="0" w:color="000000"/>
        </w:pBdr>
        <w:jc w:val="both"/>
      </w:pPr>
      <w:r>
        <w:rPr>
          <w:rFonts w:ascii="Times New Roman" w:eastAsia="Times New Roman" w:hAnsi="Times New Roman" w:cs="Times New Roman"/>
          <w:color w:val="000000"/>
          <w:sz w:val="24"/>
        </w:rPr>
        <w:t xml:space="preserve">La identificación de los determinantes individuales y del hogar permite descomponer el fenómeno en factores de oferta (educación, género, estructura familiar) y factores de demanda (sector económico, tamaño de firma, zona geográfica). </w:t>
      </w:r>
      <w:commentRangeStart w:id="6"/>
      <w:r>
        <w:rPr>
          <w:rFonts w:ascii="Times New Roman" w:eastAsia="Times New Roman" w:hAnsi="Times New Roman" w:cs="Times New Roman"/>
          <w:color w:val="000000"/>
          <w:sz w:val="24"/>
        </w:rPr>
        <w:t xml:space="preserve">Ulyssea (2018) demuestra que esta distinción es empíricamente relevante porque los mecanismos de política difieren: las intervenciones de oferta actúan sobre la productividad del trabajador, mientras que las de demanda actúan sobre el costo de formalización para la firma. </w:t>
      </w:r>
      <w:commentRangeEnd w:id="6"/>
      <w:r w:rsidR="00EB7727">
        <w:rPr>
          <w:rStyle w:val="Refdecomentario"/>
          <w:rFonts w:ascii="Times New Roman" w:eastAsia="Times New Roman" w:hAnsi="Times New Roman" w:cs="Times New Roman"/>
          <w:color w:val="000000"/>
          <w:sz w:val="24"/>
          <w:szCs w:val="22"/>
        </w:rPr>
        <w:commentReference w:id="6"/>
      </w:r>
      <w:r>
        <w:rPr>
          <w:rFonts w:ascii="Times New Roman" w:eastAsia="Times New Roman" w:hAnsi="Times New Roman" w:cs="Times New Roman"/>
          <w:color w:val="000000"/>
          <w:sz w:val="24"/>
        </w:rPr>
        <w:t>Sin esa descomposición, las políticas de empleo operan sin evidencia sobre cuál de los dos márgenes es vinculante.</w:t>
      </w:r>
    </w:p>
    <w:p w14:paraId="3CDF46D7" w14:textId="77777777" w:rsidR="007B2816" w:rsidRDefault="00000000">
      <w:pPr>
        <w:pBdr>
          <w:top w:val="none" w:sz="4" w:space="0" w:color="000000"/>
          <w:left w:val="none" w:sz="4" w:space="0" w:color="000000"/>
          <w:bottom w:val="none" w:sz="4" w:space="0" w:color="000000"/>
          <w:right w:val="none" w:sz="4" w:space="0" w:color="000000"/>
        </w:pBdr>
        <w:jc w:val="both"/>
      </w:pPr>
      <w:r>
        <w:rPr>
          <w:rFonts w:ascii="Times New Roman" w:eastAsia="Times New Roman" w:hAnsi="Times New Roman" w:cs="Times New Roman"/>
          <w:color w:val="000000"/>
          <w:sz w:val="24"/>
        </w:rPr>
        <w:t>La dimensión de género es cuantificable y exige atención específica. La estimación de Berniell et al. (2021) sobre la penalidad de maternidad documenta una caída de 20 a 30 puntos porcentuales en el empleo formal femenino tras el primer hijo en América Latina. En Ecuador, la cobertura de cuidado infantil público es del 13% para menores de tres años, lo que traslada el costo de la maternidad al mercado laboral como una restricción horaria que empuja a las madres hacia el subempleo y la informalidad simultáneamente. Cuantificar ese efecto con microdatos nacionales para el período 2021-2025 constituye un aporte directo a la evaluación de la política pública de cuidado.</w:t>
      </w:r>
    </w:p>
    <w:p w14:paraId="5CAD73CE" w14:textId="77777777" w:rsidR="007B2816" w:rsidRDefault="00000000">
      <w:pPr>
        <w:pBdr>
          <w:top w:val="none" w:sz="4" w:space="0" w:color="000000"/>
          <w:left w:val="none" w:sz="4" w:space="0" w:color="000000"/>
          <w:bottom w:val="none" w:sz="4" w:space="0" w:color="000000"/>
          <w:right w:val="none" w:sz="4" w:space="0" w:color="000000"/>
        </w:pBdr>
        <w:jc w:val="both"/>
      </w:pPr>
      <w:commentRangeStart w:id="7"/>
      <w:r>
        <w:rPr>
          <w:rFonts w:ascii="Times New Roman" w:eastAsia="Times New Roman" w:hAnsi="Times New Roman" w:cs="Times New Roman"/>
          <w:i/>
          <w:color w:val="000000"/>
          <w:sz w:val="24"/>
        </w:rPr>
        <w:t>Hipótesis de trabajo:</w:t>
      </w:r>
      <w:r>
        <w:rPr>
          <w:rFonts w:ascii="Times New Roman" w:eastAsia="Times New Roman" w:hAnsi="Times New Roman" w:cs="Times New Roman"/>
          <w:color w:val="000000"/>
          <w:sz w:val="24"/>
        </w:rPr>
        <w:t xml:space="preserve"> La probabilidad conjunta de subempleo e informalidad es mayor en mujeres con hijos, en trabajadores con educación primaria o inferior, en residentes de zonas rurales y en ocupados del sector agrícola y del comercio informal, con respecto a sus grupos de referencia. En el modelo biprobit con corrección de Heckman, se anticipa que el coeficiente de correlación entre los errores de las dos ecuaciones (</w:t>
      </w:r>
      <m:oMath>
        <m:limUpp>
          <m:limUppPr>
            <m:ctrlPr>
              <w:rPr>
                <w:rFonts w:ascii="Cambria Math" w:hAnsi="Cambria Math"/>
              </w:rPr>
            </m:ctrlPr>
          </m:limUppPr>
          <m:e>
            <m:r>
              <w:rPr>
                <w:rFonts w:ascii="Cambria Math" w:hAnsi="Cambria Math"/>
              </w:rPr>
              <m:t>ρ</m:t>
            </m:r>
          </m:e>
          <m:lim>
            <m:r>
              <w:rPr>
                <w:rFonts w:ascii="Cambria Math" w:hAnsi="Cambria Math"/>
              </w:rPr>
              <m:t>^</m:t>
            </m:r>
          </m:lim>
        </m:limUpp>
      </m:oMath>
      <w:r>
        <w:rPr>
          <w:rFonts w:ascii="Times New Roman" w:eastAsia="Times New Roman" w:hAnsi="Times New Roman" w:cs="Times New Roman"/>
          <w:color w:val="000000"/>
          <w:sz w:val="24"/>
        </w:rPr>
        <w:t xml:space="preserve">ρ^​) sea positivo y estadísticamente </w:t>
      </w:r>
      <w:r>
        <w:rPr>
          <w:rFonts w:ascii="Times New Roman" w:eastAsia="Times New Roman" w:hAnsi="Times New Roman" w:cs="Times New Roman"/>
          <w:color w:val="000000"/>
          <w:sz w:val="24"/>
        </w:rPr>
        <w:lastRenderedPageBreak/>
        <w:t>significativo, lo que indicaría que ambos estados no son independientes y que su estimación conjunta produce inferencias más eficientes que la estimación separada.</w:t>
      </w:r>
      <w:commentRangeEnd w:id="7"/>
      <w:r w:rsidR="00CA2604">
        <w:rPr>
          <w:rStyle w:val="Refdecomentario"/>
          <w:sz w:val="22"/>
          <w:szCs w:val="22"/>
        </w:rPr>
        <w:commentReference w:id="7"/>
      </w:r>
    </w:p>
    <w:p w14:paraId="05408D8A" w14:textId="77777777" w:rsidR="007B2816" w:rsidRDefault="00000000">
      <w:pPr>
        <w:pBdr>
          <w:top w:val="none" w:sz="4" w:space="0" w:color="000000"/>
          <w:left w:val="none" w:sz="4" w:space="0" w:color="000000"/>
          <w:bottom w:val="none" w:sz="4" w:space="0" w:color="000000"/>
          <w:right w:val="none" w:sz="4" w:space="0" w:color="000000"/>
        </w:pBdr>
        <w:jc w:val="both"/>
      </w:pPr>
      <w:commentRangeStart w:id="8"/>
      <w:commentRangeStart w:id="9"/>
      <w:r>
        <w:rPr>
          <w:rFonts w:ascii="Times New Roman" w:eastAsia="Times New Roman" w:hAnsi="Times New Roman" w:cs="Times New Roman"/>
          <w:color w:val="000000"/>
          <w:sz w:val="24"/>
        </w:rPr>
        <w:t>El análisis presenta limitaciones que condicionan el alcance de sus conclusiones. La ENEMDU es una encuesta de corte transversal repetido, lo que impide establecer causalidad dinámica entre las variables de interés y la condición laboral: los coeficientes del modelo identifican asociaciones condicionales, no efectos causales en sentido estricto. La posible endogeneidad entre educación e informalidad (trabajadores con menor educación que eligen sectores informales donde la exigencia de credenciales es baja) no puede resolverse completamente con los instrumentos disponibles en la encuesta. La representatividad de la ENEMDU es nacional y provincial, pero no desagrega a nivel cantonal, lo que limita el análisis territorial. Estas restricciones son inherentes a la fuente de datos disponible y delimitan el tipo de inferencia que el estudio puede realizar.</w:t>
      </w:r>
      <w:commentRangeEnd w:id="8"/>
      <w:r w:rsidR="00EB7727">
        <w:rPr>
          <w:rStyle w:val="Refdecomentario"/>
          <w:sz w:val="22"/>
          <w:szCs w:val="22"/>
        </w:rPr>
        <w:commentReference w:id="8"/>
      </w:r>
      <w:commentRangeEnd w:id="9"/>
      <w:r w:rsidR="00EB7727">
        <w:rPr>
          <w:rStyle w:val="Refdecomentario"/>
          <w:sz w:val="22"/>
          <w:szCs w:val="22"/>
        </w:rPr>
        <w:commentReference w:id="9"/>
      </w:r>
    </w:p>
    <w:p w14:paraId="1882A999" w14:textId="77777777" w:rsidR="007B2816" w:rsidRDefault="00000000">
      <w:pPr>
        <w:pBdr>
          <w:top w:val="none" w:sz="4" w:space="0" w:color="000000"/>
          <w:left w:val="none" w:sz="4" w:space="0" w:color="000000"/>
          <w:bottom w:val="none" w:sz="4" w:space="0" w:color="000000"/>
          <w:right w:val="none" w:sz="4" w:space="0" w:color="000000"/>
        </w:pBdr>
        <w:jc w:val="both"/>
      </w:pPr>
      <w:r>
        <w:rPr>
          <w:rFonts w:ascii="Times New Roman" w:eastAsia="Times New Roman" w:hAnsi="Times New Roman" w:cs="Times New Roman"/>
          <w:b/>
          <w:color w:val="000000"/>
          <w:sz w:val="24"/>
        </w:rPr>
        <w:t>4. Objetivos de la Investigación</w:t>
      </w:r>
    </w:p>
    <w:p w14:paraId="67B10A7A" w14:textId="77777777" w:rsidR="007B2816" w:rsidRDefault="00000000">
      <w:pPr>
        <w:pBdr>
          <w:top w:val="none" w:sz="4" w:space="0" w:color="000000"/>
          <w:left w:val="none" w:sz="4" w:space="0" w:color="000000"/>
          <w:bottom w:val="none" w:sz="4" w:space="0" w:color="000000"/>
          <w:right w:val="none" w:sz="4" w:space="0" w:color="000000"/>
        </w:pBdr>
        <w:jc w:val="both"/>
      </w:pPr>
      <w:r>
        <w:rPr>
          <w:rFonts w:ascii="Times New Roman" w:eastAsia="Times New Roman" w:hAnsi="Times New Roman" w:cs="Times New Roman"/>
          <w:b/>
          <w:color w:val="000000"/>
          <w:sz w:val="24"/>
        </w:rPr>
        <w:t>4.1. Objetivo General</w:t>
      </w:r>
    </w:p>
    <w:p w14:paraId="0DEBD77F" w14:textId="77777777" w:rsidR="007B2816" w:rsidRDefault="00000000">
      <w:pPr>
        <w:pBdr>
          <w:top w:val="none" w:sz="4" w:space="0" w:color="000000"/>
          <w:left w:val="none" w:sz="4" w:space="0" w:color="000000"/>
          <w:bottom w:val="none" w:sz="4" w:space="0" w:color="000000"/>
          <w:right w:val="none" w:sz="4" w:space="0" w:color="000000"/>
        </w:pBdr>
        <w:jc w:val="both"/>
      </w:pPr>
      <w:commentRangeStart w:id="10"/>
      <w:r>
        <w:rPr>
          <w:rFonts w:ascii="Times New Roman" w:eastAsia="Times New Roman" w:hAnsi="Times New Roman" w:cs="Times New Roman"/>
          <w:color w:val="000000"/>
          <w:sz w:val="24"/>
        </w:rPr>
        <w:t>Determinar los factores individuales y del hogar asociados a la probabilidad de que una persona ocupada en el Ecuador se encuentre simultáneamente en subempleo y sin cobertura de seguridad social durante el periodo 2021-2025.</w:t>
      </w:r>
      <w:commentRangeEnd w:id="10"/>
      <w:r w:rsidR="00B50885">
        <w:rPr>
          <w:rStyle w:val="Refdecomentario"/>
          <w:sz w:val="22"/>
          <w:szCs w:val="22"/>
        </w:rPr>
        <w:commentReference w:id="10"/>
      </w:r>
    </w:p>
    <w:p w14:paraId="2BB6C934" w14:textId="77777777" w:rsidR="007B2816" w:rsidRDefault="00000000">
      <w:pPr>
        <w:pBdr>
          <w:top w:val="none" w:sz="4" w:space="0" w:color="000000"/>
          <w:left w:val="none" w:sz="4" w:space="0" w:color="000000"/>
          <w:bottom w:val="none" w:sz="4" w:space="0" w:color="000000"/>
          <w:right w:val="none" w:sz="4" w:space="0" w:color="000000"/>
        </w:pBdr>
        <w:jc w:val="both"/>
      </w:pPr>
      <w:r>
        <w:rPr>
          <w:rFonts w:ascii="Times New Roman" w:eastAsia="Times New Roman" w:hAnsi="Times New Roman" w:cs="Times New Roman"/>
          <w:b/>
          <w:color w:val="000000"/>
          <w:sz w:val="24"/>
        </w:rPr>
        <w:t>4.2. Objetivos Específicos</w:t>
      </w:r>
    </w:p>
    <w:p w14:paraId="1E518DDC" w14:textId="77777777" w:rsidR="007B2816" w:rsidRPr="00B50885" w:rsidRDefault="00000000">
      <w:pPr>
        <w:pStyle w:val="Prrafodelista"/>
        <w:numPr>
          <w:ilvl w:val="0"/>
          <w:numId w:val="2"/>
        </w:numPr>
        <w:pBdr>
          <w:top w:val="none" w:sz="4" w:space="0" w:color="000000"/>
          <w:left w:val="none" w:sz="4" w:space="0" w:color="000000"/>
          <w:bottom w:val="none" w:sz="4" w:space="0" w:color="000000"/>
          <w:right w:val="none" w:sz="4" w:space="0" w:color="000000"/>
        </w:pBdr>
        <w:jc w:val="both"/>
        <w:rPr>
          <w:strike/>
        </w:rPr>
      </w:pPr>
      <w:r>
        <w:rPr>
          <w:rFonts w:ascii="Times New Roman" w:eastAsia="Times New Roman" w:hAnsi="Times New Roman" w:cs="Times New Roman"/>
          <w:color w:val="000000"/>
          <w:sz w:val="24"/>
        </w:rPr>
        <w:t xml:space="preserve">Analizar los fundamentos teóricos de la segmentación laboral que explican la coexistencia de subempleo e informalidad, entendida esta última como la ausencia de cobertura de seguridad social, identificando los mecanismos de </w:t>
      </w:r>
      <w:commentRangeStart w:id="11"/>
      <w:commentRangeStart w:id="12"/>
      <w:r w:rsidRPr="00B50885">
        <w:rPr>
          <w:rFonts w:ascii="Times New Roman" w:eastAsia="Times New Roman" w:hAnsi="Times New Roman" w:cs="Times New Roman"/>
          <w:strike/>
          <w:color w:val="000000"/>
          <w:sz w:val="24"/>
        </w:rPr>
        <w:t>oferta y demanda que predicen la probabilidad conjunta de ambas condiciones.</w:t>
      </w:r>
      <w:commentRangeEnd w:id="11"/>
      <w:r w:rsidR="00B50885" w:rsidRPr="00B50885">
        <w:rPr>
          <w:rStyle w:val="Refdecomentario"/>
          <w:strike/>
          <w:sz w:val="22"/>
          <w:szCs w:val="22"/>
        </w:rPr>
        <w:commentReference w:id="11"/>
      </w:r>
      <w:commentRangeEnd w:id="12"/>
      <w:r w:rsidR="00B903F8" w:rsidRPr="00B50885">
        <w:rPr>
          <w:rStyle w:val="Refdecomentario"/>
          <w:strike/>
          <w:sz w:val="22"/>
          <w:szCs w:val="22"/>
        </w:rPr>
        <w:commentReference w:id="12"/>
      </w:r>
    </w:p>
    <w:p w14:paraId="39BBECB7" w14:textId="77777777" w:rsidR="007B2816" w:rsidRPr="00B903F8" w:rsidRDefault="00000000">
      <w:pPr>
        <w:pStyle w:val="Prrafodelista"/>
        <w:numPr>
          <w:ilvl w:val="0"/>
          <w:numId w:val="2"/>
        </w:numPr>
        <w:pBdr>
          <w:top w:val="none" w:sz="4" w:space="0" w:color="000000"/>
          <w:left w:val="none" w:sz="4" w:space="0" w:color="000000"/>
          <w:bottom w:val="none" w:sz="4" w:space="0" w:color="000000"/>
          <w:right w:val="none" w:sz="4" w:space="0" w:color="000000"/>
        </w:pBdr>
        <w:jc w:val="both"/>
        <w:rPr>
          <w:strike/>
        </w:rPr>
      </w:pPr>
      <w:r>
        <w:rPr>
          <w:rFonts w:ascii="Times New Roman" w:eastAsia="Times New Roman" w:hAnsi="Times New Roman" w:cs="Times New Roman"/>
          <w:color w:val="000000"/>
          <w:sz w:val="24"/>
        </w:rPr>
        <w:t xml:space="preserve">Caracterizar la evolución y distribución de la doble condición de subempleo e informalidad laboral en la población ocupada de Ecuador durante 2021-2025, </w:t>
      </w:r>
      <w:r w:rsidRPr="00B903F8">
        <w:rPr>
          <w:rFonts w:ascii="Times New Roman" w:eastAsia="Times New Roman" w:hAnsi="Times New Roman" w:cs="Times New Roman"/>
          <w:strike/>
          <w:color w:val="000000"/>
          <w:sz w:val="24"/>
        </w:rPr>
        <w:t>desagregada por género, grupo etario, nivel educativo y zona geográfica.</w:t>
      </w:r>
    </w:p>
    <w:p w14:paraId="7975005E" w14:textId="77777777" w:rsidR="007B2816" w:rsidRPr="001F60BE" w:rsidRDefault="00000000">
      <w:pPr>
        <w:pStyle w:val="Prrafodelista"/>
        <w:numPr>
          <w:ilvl w:val="0"/>
          <w:numId w:val="2"/>
        </w:numPr>
        <w:pBdr>
          <w:top w:val="none" w:sz="4" w:space="0" w:color="000000"/>
          <w:left w:val="none" w:sz="4" w:space="0" w:color="000000"/>
          <w:bottom w:val="none" w:sz="4" w:space="0" w:color="000000"/>
          <w:right w:val="none" w:sz="4" w:space="0" w:color="000000"/>
        </w:pBdr>
        <w:jc w:val="both"/>
        <w:rPr>
          <w:strike/>
        </w:rPr>
      </w:pPr>
      <w:r w:rsidRPr="001F60BE">
        <w:rPr>
          <w:rFonts w:ascii="Times New Roman" w:eastAsia="Times New Roman" w:hAnsi="Times New Roman" w:cs="Times New Roman"/>
          <w:strike/>
          <w:color w:val="000000"/>
          <w:sz w:val="24"/>
        </w:rPr>
        <w:t>Verificar los supuestos estadísticos del modelo de estimación conjunta, incluyendo la prueba de correlación entre los errores de las ecuaciones de subempleo e informalidad (</w:t>
      </w:r>
      <m:oMath>
        <m:limUpp>
          <m:limUppPr>
            <m:ctrlPr>
              <w:rPr>
                <w:rFonts w:ascii="Cambria Math" w:hAnsi="Cambria Math"/>
                <w:strike/>
              </w:rPr>
            </m:ctrlPr>
          </m:limUppPr>
          <m:e>
            <m:r>
              <w:rPr>
                <w:rFonts w:ascii="Cambria Math" w:hAnsi="Cambria Math"/>
                <w:strike/>
              </w:rPr>
              <m:t>ρ</m:t>
            </m:r>
          </m:e>
          <m:lim>
            <m:r>
              <w:rPr>
                <w:rFonts w:ascii="Cambria Math" w:hAnsi="Cambria Math"/>
                <w:strike/>
              </w:rPr>
              <m:t>^</m:t>
            </m:r>
          </m:lim>
        </m:limUpp>
      </m:oMath>
      <w:r w:rsidRPr="001F60BE">
        <w:rPr>
          <w:rFonts w:ascii="Times New Roman" w:eastAsia="Times New Roman" w:hAnsi="Times New Roman" w:cs="Times New Roman"/>
          <w:strike/>
          <w:color w:val="000000"/>
          <w:sz w:val="24"/>
        </w:rPr>
        <w:t>ρ^​), el diagnóstico de multicolinealidad entre regresores y la bondad de ajuste del modelo biprobit estimado.</w:t>
      </w:r>
    </w:p>
    <w:p w14:paraId="189C18D3" w14:textId="77777777" w:rsidR="007B2816" w:rsidRPr="004C3C02" w:rsidRDefault="00000000">
      <w:pPr>
        <w:pStyle w:val="Prrafodelista"/>
        <w:numPr>
          <w:ilvl w:val="0"/>
          <w:numId w:val="2"/>
        </w:numPr>
        <w:pBdr>
          <w:top w:val="none" w:sz="4" w:space="0" w:color="000000"/>
          <w:left w:val="none" w:sz="4" w:space="0" w:color="000000"/>
          <w:bottom w:val="none" w:sz="4" w:space="0" w:color="000000"/>
          <w:right w:val="none" w:sz="4" w:space="0" w:color="000000"/>
        </w:pBdr>
        <w:jc w:val="both"/>
        <w:rPr>
          <w:strike/>
        </w:rPr>
      </w:pPr>
      <w:commentRangeStart w:id="13"/>
      <w:r>
        <w:rPr>
          <w:rFonts w:ascii="Times New Roman" w:eastAsia="Times New Roman" w:hAnsi="Times New Roman" w:cs="Times New Roman"/>
          <w:color w:val="000000"/>
          <w:sz w:val="24"/>
        </w:rPr>
        <w:t xml:space="preserve">Estimar la probabilidad </w:t>
      </w:r>
      <w:r w:rsidRPr="00B903F8">
        <w:rPr>
          <w:rFonts w:ascii="Times New Roman" w:eastAsia="Times New Roman" w:hAnsi="Times New Roman" w:cs="Times New Roman"/>
          <w:strike/>
          <w:color w:val="000000"/>
          <w:sz w:val="24"/>
        </w:rPr>
        <w:t>conjunta</w:t>
      </w:r>
      <w:r>
        <w:rPr>
          <w:rFonts w:ascii="Times New Roman" w:eastAsia="Times New Roman" w:hAnsi="Times New Roman" w:cs="Times New Roman"/>
          <w:color w:val="000000"/>
          <w:sz w:val="24"/>
        </w:rPr>
        <w:t xml:space="preserve"> de que una persona ocupada presente simultáneamente subempleo e informalidad laboral </w:t>
      </w:r>
      <w:r w:rsidRPr="004C3C02">
        <w:rPr>
          <w:rFonts w:ascii="Times New Roman" w:eastAsia="Times New Roman" w:hAnsi="Times New Roman" w:cs="Times New Roman"/>
          <w:strike/>
          <w:color w:val="000000"/>
          <w:sz w:val="24"/>
        </w:rPr>
        <w:t>mediante un modelo biprobit con corrección por sesgo de selección muestral, aplicado a los</w:t>
      </w:r>
      <w:r>
        <w:rPr>
          <w:rFonts w:ascii="Times New Roman" w:eastAsia="Times New Roman" w:hAnsi="Times New Roman" w:cs="Times New Roman"/>
          <w:color w:val="000000"/>
          <w:sz w:val="24"/>
        </w:rPr>
        <w:t xml:space="preserve"> microdatos de la ENEMDU 2021-2025, </w:t>
      </w:r>
      <w:r w:rsidRPr="004C3C02">
        <w:rPr>
          <w:rFonts w:ascii="Times New Roman" w:eastAsia="Times New Roman" w:hAnsi="Times New Roman" w:cs="Times New Roman"/>
          <w:strike/>
          <w:color w:val="000000"/>
          <w:sz w:val="24"/>
        </w:rPr>
        <w:t>e interpretar los efectos marginales de las variables de interés.</w:t>
      </w:r>
      <w:commentRangeEnd w:id="13"/>
      <w:r w:rsidR="00B903F8" w:rsidRPr="004C3C02">
        <w:rPr>
          <w:rStyle w:val="Refdecomentario"/>
          <w:strike/>
          <w:sz w:val="22"/>
          <w:szCs w:val="22"/>
        </w:rPr>
        <w:commentReference w:id="13"/>
      </w:r>
    </w:p>
    <w:p w14:paraId="3771281A" w14:textId="77777777" w:rsidR="007B2816" w:rsidRDefault="007B2816">
      <w:pPr>
        <w:jc w:val="both"/>
      </w:pPr>
    </w:p>
    <w:sectPr w:rsidR="007B2816">
      <w:pgSz w:w="11906" w:h="16838"/>
      <w:pgMar w:top="1417" w:right="1417" w:bottom="1417" w:left="1417" w:header="709" w:footer="70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ÍA GABRIELA MORENO HURTADO" w:date="2026-07-08T15:23:00Z" w:initials="MM">
    <w:p w14:paraId="213E3AA1" w14:textId="77777777" w:rsidR="000900DB" w:rsidRDefault="000900DB" w:rsidP="000900DB">
      <w:pPr>
        <w:pStyle w:val="Textocomentario"/>
      </w:pPr>
      <w:r>
        <w:rPr>
          <w:rStyle w:val="Refdecomentario"/>
        </w:rPr>
        <w:annotationRef/>
      </w:r>
      <w:r>
        <w:rPr>
          <w:lang w:val="es-EC"/>
        </w:rPr>
        <w:t>Cómo lo calculó?</w:t>
      </w:r>
    </w:p>
  </w:comment>
  <w:comment w:id="1" w:author="MARÍA GABRIELA MORENO HURTADO" w:date="2026-07-08T15:28:00Z" w:initials="MM">
    <w:p w14:paraId="4E8521E5" w14:textId="77777777" w:rsidR="000900DB" w:rsidRDefault="000900DB" w:rsidP="000900DB">
      <w:pPr>
        <w:pStyle w:val="Textocomentario"/>
      </w:pPr>
      <w:r>
        <w:rPr>
          <w:rStyle w:val="Refdecomentario"/>
        </w:rPr>
        <w:annotationRef/>
      </w:r>
      <w:r>
        <w:rPr>
          <w:lang w:val="es-EC"/>
        </w:rPr>
        <w:t xml:space="preserve">Ojo, la problemática se va hacia otro lado. Tu pregunta de investigación se orienta hacia ¿Qué </w:t>
      </w:r>
      <w:r>
        <w:rPr>
          <w:b/>
          <w:bCs/>
          <w:lang w:val="es-EC"/>
        </w:rPr>
        <w:t>factores individuales y del hogar</w:t>
      </w:r>
      <w:r>
        <w:rPr>
          <w:lang w:val="es-EC"/>
        </w:rPr>
        <w:t xml:space="preserve"> se asocian con la probabilidad de que una persona ocupada...? Y aquí hablas de costos a las empresas.</w:t>
      </w:r>
    </w:p>
  </w:comment>
  <w:comment w:id="2" w:author="MARÍA GABRIELA MORENO HURTADO" w:date="2026-07-08T15:29:00Z" w:initials="MM">
    <w:p w14:paraId="4388A3FC" w14:textId="77777777" w:rsidR="000900DB" w:rsidRDefault="000900DB" w:rsidP="000900DB">
      <w:pPr>
        <w:pStyle w:val="Textocomentario"/>
      </w:pPr>
      <w:r>
        <w:rPr>
          <w:rStyle w:val="Refdecomentario"/>
        </w:rPr>
        <w:annotationRef/>
      </w:r>
      <w:r>
        <w:rPr>
          <w:lang w:val="es-EC"/>
        </w:rPr>
        <w:t>Igual que el anterior, te vas hacia otro lado con la problemática.</w:t>
      </w:r>
    </w:p>
  </w:comment>
  <w:comment w:id="3" w:author="MARÍA GABRIELA MORENO HURTADO" w:date="2026-07-08T15:29:00Z" w:initials="MM">
    <w:p w14:paraId="5E622FAE" w14:textId="77777777" w:rsidR="000900DB" w:rsidRDefault="000900DB" w:rsidP="000900DB">
      <w:pPr>
        <w:pStyle w:val="Textocomentario"/>
      </w:pPr>
      <w:r>
        <w:rPr>
          <w:rStyle w:val="Refdecomentario"/>
        </w:rPr>
        <w:annotationRef/>
      </w:r>
      <w:r>
        <w:rPr>
          <w:lang w:val="es-EC"/>
        </w:rPr>
        <w:t>Igual, te vas hacia otro lado.</w:t>
      </w:r>
    </w:p>
  </w:comment>
  <w:comment w:id="4" w:author="MARÍA GABRIELA MORENO HURTADO" w:date="2026-07-08T15:30:00Z" w:initials="MM">
    <w:p w14:paraId="453FC4BA" w14:textId="77777777" w:rsidR="000900DB" w:rsidRDefault="000900DB" w:rsidP="000900DB">
      <w:pPr>
        <w:pStyle w:val="Textocomentario"/>
      </w:pPr>
      <w:r>
        <w:rPr>
          <w:rStyle w:val="Refdecomentario"/>
        </w:rPr>
        <w:annotationRef/>
      </w:r>
      <w:r>
        <w:t xml:space="preserve">Pero antes habla de </w:t>
      </w:r>
      <w:r>
        <w:rPr>
          <w:b/>
          <w:bCs/>
        </w:rPr>
        <w:t>costos patronales, productividad sectorial, salario mínimo, firmas, formalización empresarial y selección laboral</w:t>
      </w:r>
      <w:r>
        <w:t xml:space="preserve">. Entonces hay una desconexión entre la problemática y la pregunta. Si la pregunta será sobre factores individuales y del hogar, la problemática debe concentrarse en eso, no en el comportamiento de las firmas. </w:t>
      </w:r>
    </w:p>
  </w:comment>
  <w:comment w:id="5" w:author="MARÍA GABRIELA MORENO HURTADO" w:date="2026-07-08T15:38:00Z" w:initials="MM">
    <w:p w14:paraId="1A780806" w14:textId="77777777" w:rsidR="001D77CE" w:rsidRDefault="001D77CE" w:rsidP="001D77CE">
      <w:pPr>
        <w:pStyle w:val="Textocomentario"/>
      </w:pPr>
      <w:r>
        <w:rPr>
          <w:rStyle w:val="Refdecomentario"/>
        </w:rPr>
        <w:annotationRef/>
      </w:r>
      <w:r>
        <w:t xml:space="preserve">La propuesta de la problemática ha mejorado porque ya delimitas la doble condición laboral, pero la problemática aún no está suficientemente enfocada. Se incorporan argumentos sobre formalización empresarial, salario mínimo, productividad sectorial y sesgo de selección, sin que todos se conecten directamente con la pregunta de investigación. Es necesario que elijas  un eje central. El  estudio busca analizar la probabilidad de que una persona ocupada presente subempleo e informalidad, entonces la problemática debe organizarse alrededor de los factores individuales, laborales, del hogar y territoriales asociados a esa doble condición. </w:t>
      </w:r>
    </w:p>
    <w:p w14:paraId="09D89CEF" w14:textId="77777777" w:rsidR="001D77CE" w:rsidRDefault="001D77CE" w:rsidP="001D77CE">
      <w:pPr>
        <w:pStyle w:val="Textocomentario"/>
      </w:pPr>
    </w:p>
    <w:p w14:paraId="56092CA1" w14:textId="77777777" w:rsidR="001D77CE" w:rsidRDefault="001D77CE" w:rsidP="001D77CE">
      <w:pPr>
        <w:pStyle w:val="Textocomentario"/>
      </w:pPr>
      <w:r>
        <w:t xml:space="preserve">El eje central de la problemática es este: La doble condición de subempleo e informalidad laboral no afecta de manera homogénea a toda la población ocupada; tiende a concentrarse en ciertos grupos según características individuales y del hogar. </w:t>
      </w:r>
    </w:p>
    <w:p w14:paraId="3901F1FB" w14:textId="77777777" w:rsidR="001D77CE" w:rsidRDefault="001D77CE" w:rsidP="001D77CE">
      <w:pPr>
        <w:pStyle w:val="Textocomentario"/>
      </w:pPr>
    </w:p>
    <w:p w14:paraId="1AAD0DB1" w14:textId="77777777" w:rsidR="001D77CE" w:rsidRDefault="001D77CE" w:rsidP="001D77CE">
      <w:pPr>
        <w:pStyle w:val="Textocomentario"/>
      </w:pPr>
      <w:r>
        <w:t>Entonces, intenta enfocarte en esto: Si el enfoque será individual y de hogar, entonces la problemática debería girar alrededor de:</w:t>
      </w:r>
    </w:p>
    <w:p w14:paraId="7BF2FB2A" w14:textId="77777777" w:rsidR="001D77CE" w:rsidRDefault="001D77CE" w:rsidP="001D77CE">
      <w:pPr>
        <w:pStyle w:val="Textocomentario"/>
        <w:numPr>
          <w:ilvl w:val="0"/>
          <w:numId w:val="3"/>
        </w:numPr>
      </w:pPr>
      <w:r>
        <w:t xml:space="preserve">sexo; </w:t>
      </w:r>
    </w:p>
    <w:p w14:paraId="339A7F7B" w14:textId="77777777" w:rsidR="001D77CE" w:rsidRDefault="001D77CE" w:rsidP="001D77CE">
      <w:pPr>
        <w:pStyle w:val="Textocomentario"/>
        <w:numPr>
          <w:ilvl w:val="0"/>
          <w:numId w:val="3"/>
        </w:numPr>
      </w:pPr>
      <w:r>
        <w:t xml:space="preserve">edad; </w:t>
      </w:r>
    </w:p>
    <w:p w14:paraId="49196A06" w14:textId="77777777" w:rsidR="001D77CE" w:rsidRDefault="001D77CE" w:rsidP="001D77CE">
      <w:pPr>
        <w:pStyle w:val="Textocomentario"/>
        <w:numPr>
          <w:ilvl w:val="0"/>
          <w:numId w:val="3"/>
        </w:numPr>
      </w:pPr>
      <w:r>
        <w:t xml:space="preserve">nivel educativo; </w:t>
      </w:r>
    </w:p>
    <w:p w14:paraId="6F0547EF" w14:textId="77777777" w:rsidR="001D77CE" w:rsidRDefault="001D77CE" w:rsidP="001D77CE">
      <w:pPr>
        <w:pStyle w:val="Textocomentario"/>
        <w:numPr>
          <w:ilvl w:val="0"/>
          <w:numId w:val="3"/>
        </w:numPr>
      </w:pPr>
      <w:r>
        <w:t xml:space="preserve">estado civil; </w:t>
      </w:r>
    </w:p>
    <w:p w14:paraId="38A5A146" w14:textId="77777777" w:rsidR="001D77CE" w:rsidRDefault="001D77CE" w:rsidP="001D77CE">
      <w:pPr>
        <w:pStyle w:val="Textocomentario"/>
        <w:numPr>
          <w:ilvl w:val="0"/>
          <w:numId w:val="3"/>
        </w:numPr>
      </w:pPr>
      <w:r>
        <w:t xml:space="preserve">jefatura de hogar; </w:t>
      </w:r>
    </w:p>
    <w:p w14:paraId="4528C13D" w14:textId="77777777" w:rsidR="001D77CE" w:rsidRDefault="001D77CE" w:rsidP="001D77CE">
      <w:pPr>
        <w:pStyle w:val="Textocomentario"/>
        <w:numPr>
          <w:ilvl w:val="0"/>
          <w:numId w:val="3"/>
        </w:numPr>
      </w:pPr>
      <w:r>
        <w:t xml:space="preserve">presencia de hijos o menores en el hogar; </w:t>
      </w:r>
    </w:p>
    <w:p w14:paraId="478A0D96" w14:textId="77777777" w:rsidR="001D77CE" w:rsidRDefault="001D77CE" w:rsidP="001D77CE">
      <w:pPr>
        <w:pStyle w:val="Textocomentario"/>
        <w:numPr>
          <w:ilvl w:val="0"/>
          <w:numId w:val="3"/>
        </w:numPr>
      </w:pPr>
      <w:r>
        <w:t xml:space="preserve">tamaño del hogar; </w:t>
      </w:r>
    </w:p>
    <w:p w14:paraId="163817D3" w14:textId="77777777" w:rsidR="001D77CE" w:rsidRDefault="001D77CE" w:rsidP="001D77CE">
      <w:pPr>
        <w:pStyle w:val="Textocomentario"/>
        <w:numPr>
          <w:ilvl w:val="0"/>
          <w:numId w:val="3"/>
        </w:numPr>
      </w:pPr>
      <w:r>
        <w:t xml:space="preserve">área urbana/rural; </w:t>
      </w:r>
    </w:p>
    <w:p w14:paraId="00F6B573" w14:textId="77777777" w:rsidR="001D77CE" w:rsidRDefault="001D77CE" w:rsidP="001D77CE">
      <w:pPr>
        <w:pStyle w:val="Textocomentario"/>
        <w:numPr>
          <w:ilvl w:val="0"/>
          <w:numId w:val="3"/>
        </w:numPr>
      </w:pPr>
      <w:r>
        <w:t xml:space="preserve">región; </w:t>
      </w:r>
    </w:p>
    <w:p w14:paraId="66907305" w14:textId="77777777" w:rsidR="001D77CE" w:rsidRDefault="001D77CE" w:rsidP="001D77CE">
      <w:pPr>
        <w:pStyle w:val="Textocomentario"/>
        <w:numPr>
          <w:ilvl w:val="0"/>
          <w:numId w:val="3"/>
        </w:numPr>
      </w:pPr>
      <w:r>
        <w:t>posiblemente categoría ocupacional y rama de actividad como controles laborales.</w:t>
      </w:r>
    </w:p>
  </w:comment>
  <w:comment w:id="6" w:author="MARÍA GABRIELA MORENO HURTADO" w:date="2026-07-08T16:13:00Z" w:initials="MM">
    <w:p w14:paraId="759C2418" w14:textId="77777777" w:rsidR="00EB7727" w:rsidRDefault="00EB7727" w:rsidP="00EB7727">
      <w:pPr>
        <w:pStyle w:val="Textocomentario"/>
      </w:pPr>
      <w:r>
        <w:rPr>
          <w:rStyle w:val="Refdecomentario"/>
        </w:rPr>
        <w:annotationRef/>
      </w:r>
      <w:r>
        <w:t xml:space="preserve">Sigue abriendo demasiados frentes. Habla de factores de oferta, factores de demanda, costos de formalización, maternidad, cuidado infantil, política pública de cuidado, sesgo de selección, endogeneidad, representatividad territorial y limitaciones (en este y en el siguiente párrafo). Todo eso en la justificación hace que vuelva a sentirse dispersa, como que quieres abordar todo. </w:t>
      </w:r>
    </w:p>
  </w:comment>
  <w:comment w:id="7" w:author="MARÍA GABRIELA MORENO HURTADO" w:date="2026-07-08T16:01:00Z" w:initials="MM">
    <w:p w14:paraId="1915DB3A" w14:textId="77777777" w:rsidR="00CA2604" w:rsidRDefault="00CA2604" w:rsidP="00CA2604">
      <w:pPr>
        <w:pStyle w:val="Textocomentario"/>
      </w:pPr>
      <w:r>
        <w:rPr>
          <w:rStyle w:val="Refdecomentario"/>
        </w:rPr>
        <w:annotationRef/>
      </w:r>
      <w:r>
        <w:rPr>
          <w:lang w:val="es-EC"/>
        </w:rPr>
        <w:t xml:space="preserve">La hipótesis no debería aparecer en esta sección. Va a parte en una sección exclusiva. Además, aún no hemos decidido la metodología, si nos fuéramos por un logit, queda totalmente desalineada, por lo que no debes colocar eso en la hipótesis. Asimismo, si el objetivo general habla de </w:t>
      </w:r>
      <w:r>
        <w:rPr>
          <w:b/>
          <w:bCs/>
          <w:lang w:val="es-EC"/>
        </w:rPr>
        <w:t>factores individuales y del hogar</w:t>
      </w:r>
      <w:r>
        <w:rPr>
          <w:lang w:val="es-EC"/>
        </w:rPr>
        <w:t xml:space="preserve">, la hipótesis no debería hablar de “sector agrícola”, “comercio informal” o “zona geográfica” como si fueran el eje principal. Pueden ir como controles, pero el foco debe mantenerse en características individuales y del hogar, entonces no tiene sentido que las menciones. </w:t>
      </w:r>
    </w:p>
  </w:comment>
  <w:comment w:id="8" w:author="MARÍA GABRIELA MORENO HURTADO" w:date="2026-07-08T16:14:00Z" w:initials="MM">
    <w:p w14:paraId="5D587E6F" w14:textId="77777777" w:rsidR="00EB7727" w:rsidRDefault="00EB7727" w:rsidP="00EB7727">
      <w:pPr>
        <w:pStyle w:val="Textocomentario"/>
      </w:pPr>
      <w:r>
        <w:rPr>
          <w:rStyle w:val="Refdecomentario"/>
        </w:rPr>
        <w:annotationRef/>
      </w:r>
      <w:r>
        <w:rPr>
          <w:lang w:val="es-EC"/>
        </w:rPr>
        <w:t xml:space="preserve">No hables de las limitaciones metodológicas, estas  tampoco deberían ir ahí, al menos no con tanto detalle. </w:t>
      </w:r>
    </w:p>
  </w:comment>
  <w:comment w:id="9" w:author="MARÍA GABRIELA MORENO HURTADO" w:date="2026-07-08T16:15:00Z" w:initials="MM">
    <w:p w14:paraId="3603BEFB" w14:textId="77777777" w:rsidR="00EB7727" w:rsidRDefault="00EB7727" w:rsidP="00EB7727">
      <w:pPr>
        <w:pStyle w:val="Textocomentario"/>
      </w:pPr>
      <w:r>
        <w:rPr>
          <w:rStyle w:val="Refdecomentario"/>
        </w:rPr>
        <w:annotationRef/>
      </w:r>
      <w:r>
        <w:rPr>
          <w:lang w:val="es-EC"/>
        </w:rPr>
        <w:t>En justificación céntrate en abordar: Relevancia social y económica (por qué la doble condición importa para trabajadores, hogares y economía);  Relevancia académica/metodológica (por qué no basta analizar subempleo e informalidad por separado). Relevancia práctica  (cómo los resultados pueden ayudar a focalizar políticas laborales y de protección social).</w:t>
      </w:r>
    </w:p>
  </w:comment>
  <w:comment w:id="10" w:author="MARÍA GABRIELA MORENO HURTADO" w:date="2026-07-08T16:34:00Z" w:initials="MM">
    <w:p w14:paraId="4BEF8118" w14:textId="77777777" w:rsidR="00B50885" w:rsidRDefault="00B50885" w:rsidP="00B50885">
      <w:pPr>
        <w:pStyle w:val="Textocomentario"/>
      </w:pPr>
      <w:r>
        <w:rPr>
          <w:rStyle w:val="Refdecomentario"/>
        </w:rPr>
        <w:annotationRef/>
      </w:r>
      <w:r>
        <w:rPr>
          <w:color w:val="000000"/>
        </w:rPr>
        <w:t xml:space="preserve">Determinar los factores individuales y del hogar asociados a la probabilidad de que una persona ocupada en Ecuador </w:t>
      </w:r>
      <w:r>
        <w:t xml:space="preserve">presente simultáneamente la condición de subempleo e informalidad laboral, durante el periodo 2021-2025. </w:t>
      </w:r>
    </w:p>
  </w:comment>
  <w:comment w:id="11" w:author="MARÍA GABRIELA MORENO HURTADO" w:date="2026-07-08T16:38:00Z" w:initials="MM">
    <w:p w14:paraId="496446C1" w14:textId="77777777" w:rsidR="00B50885" w:rsidRDefault="00B50885" w:rsidP="00B50885">
      <w:pPr>
        <w:pStyle w:val="Textocomentario"/>
      </w:pPr>
      <w:r>
        <w:rPr>
          <w:rStyle w:val="Refdecomentario"/>
        </w:rPr>
        <w:annotationRef/>
      </w:r>
      <w:r>
        <w:rPr>
          <w:lang w:val="es-EC"/>
        </w:rPr>
        <w:t>No guarda relación con el objetivo general.</w:t>
      </w:r>
    </w:p>
  </w:comment>
  <w:comment w:id="12" w:author="MARÍA GABRIELA MORENO HURTADO" w:date="2026-07-08T18:04:00Z" w:initials="MM">
    <w:p w14:paraId="5DF4D932" w14:textId="77777777" w:rsidR="00B903F8" w:rsidRDefault="00B903F8" w:rsidP="00B903F8">
      <w:pPr>
        <w:pStyle w:val="Textocomentario"/>
      </w:pPr>
      <w:r>
        <w:rPr>
          <w:rStyle w:val="Refdecomentario"/>
        </w:rPr>
        <w:annotationRef/>
      </w:r>
      <w:r>
        <w:t xml:space="preserve">Sistematizar los mecanismos teóricos que relacionan las características individuales y del hogar con la doble condición de subempleo e informalidad laboral. </w:t>
      </w:r>
    </w:p>
  </w:comment>
  <w:comment w:id="13" w:author="MARÍA GABRIELA MORENO HURTADO" w:date="2026-07-08T18:12:00Z" w:initials="MM">
    <w:p w14:paraId="5FA2FDC0" w14:textId="77777777" w:rsidR="00B903F8" w:rsidRDefault="00B903F8" w:rsidP="00B903F8">
      <w:pPr>
        <w:pStyle w:val="Textocomentario"/>
      </w:pPr>
      <w:r>
        <w:rPr>
          <w:rStyle w:val="Refdecomentario"/>
        </w:rPr>
        <w:annotationRef/>
      </w:r>
      <w:r>
        <w:t xml:space="preserve">Estimar la probabilidad de que una persona ocupada presente simultáneamente subempleo e informalidad laboral en Ecuador, en función de sus características individuales y del hogar, mediante técnicas econométricas a partir de microdatos de la ENEMDU 2021-2025.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3E3AA1" w15:done="0"/>
  <w15:commentEx w15:paraId="4E8521E5" w15:done="0"/>
  <w15:commentEx w15:paraId="4388A3FC" w15:done="0"/>
  <w15:commentEx w15:paraId="5E622FAE" w15:done="0"/>
  <w15:commentEx w15:paraId="453FC4BA" w15:done="0"/>
  <w15:commentEx w15:paraId="66907305" w15:paraIdParent="453FC4BA" w15:done="0"/>
  <w15:commentEx w15:paraId="759C2418" w15:done="0"/>
  <w15:commentEx w15:paraId="1915DB3A" w15:done="0"/>
  <w15:commentEx w15:paraId="5D587E6F" w15:done="0"/>
  <w15:commentEx w15:paraId="3603BEFB" w15:paraIdParent="5D587E6F" w15:done="0"/>
  <w15:commentEx w15:paraId="4BEF8118" w15:done="0"/>
  <w15:commentEx w15:paraId="496446C1" w15:done="0"/>
  <w15:commentEx w15:paraId="5DF4D932" w15:paraIdParent="496446C1" w15:done="0"/>
  <w15:commentEx w15:paraId="5FA2FD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3830C6" w16cex:dateUtc="2026-07-08T20:23:00Z"/>
  <w16cex:commentExtensible w16cex:durableId="1B66F2D9" w16cex:dateUtc="2026-07-08T20:28:00Z"/>
  <w16cex:commentExtensible w16cex:durableId="2CCAABC8" w16cex:dateUtc="2026-07-08T20:29:00Z"/>
  <w16cex:commentExtensible w16cex:durableId="12ADC62D" w16cex:dateUtc="2026-07-08T20:29:00Z"/>
  <w16cex:commentExtensible w16cex:durableId="72E33251" w16cex:dateUtc="2026-07-08T20:30:00Z"/>
  <w16cex:commentExtensible w16cex:durableId="6CF3935B" w16cex:dateUtc="2026-07-08T20:38:00Z"/>
  <w16cex:commentExtensible w16cex:durableId="312288BA" w16cex:dateUtc="2026-07-08T21:13:00Z"/>
  <w16cex:commentExtensible w16cex:durableId="50B32A7B" w16cex:dateUtc="2026-07-08T21:01:00Z"/>
  <w16cex:commentExtensible w16cex:durableId="78D5895B" w16cex:dateUtc="2026-07-08T21:14:00Z"/>
  <w16cex:commentExtensible w16cex:durableId="2EE839FF" w16cex:dateUtc="2026-07-08T21:15:00Z"/>
  <w16cex:commentExtensible w16cex:durableId="78E47D1A" w16cex:dateUtc="2026-07-08T21:34:00Z"/>
  <w16cex:commentExtensible w16cex:durableId="0E2F594B" w16cex:dateUtc="2026-07-08T21:38:00Z"/>
  <w16cex:commentExtensible w16cex:durableId="4B9259C2" w16cex:dateUtc="2026-07-08T23:04:00Z"/>
  <w16cex:commentExtensible w16cex:durableId="23534E2D" w16cex:dateUtc="2026-07-08T23: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3E3AA1" w16cid:durableId="0F3830C6"/>
  <w16cid:commentId w16cid:paraId="4E8521E5" w16cid:durableId="1B66F2D9"/>
  <w16cid:commentId w16cid:paraId="4388A3FC" w16cid:durableId="2CCAABC8"/>
  <w16cid:commentId w16cid:paraId="5E622FAE" w16cid:durableId="12ADC62D"/>
  <w16cid:commentId w16cid:paraId="453FC4BA" w16cid:durableId="72E33251"/>
  <w16cid:commentId w16cid:paraId="66907305" w16cid:durableId="6CF3935B"/>
  <w16cid:commentId w16cid:paraId="759C2418" w16cid:durableId="312288BA"/>
  <w16cid:commentId w16cid:paraId="1915DB3A" w16cid:durableId="50B32A7B"/>
  <w16cid:commentId w16cid:paraId="5D587E6F" w16cid:durableId="78D5895B"/>
  <w16cid:commentId w16cid:paraId="3603BEFB" w16cid:durableId="2EE839FF"/>
  <w16cid:commentId w16cid:paraId="4BEF8118" w16cid:durableId="78E47D1A"/>
  <w16cid:commentId w16cid:paraId="496446C1" w16cid:durableId="0E2F594B"/>
  <w16cid:commentId w16cid:paraId="5DF4D932" w16cid:durableId="4B9259C2"/>
  <w16cid:commentId w16cid:paraId="5FA2FDC0" w16cid:durableId="23534E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18277" w14:textId="77777777" w:rsidR="00F432EB" w:rsidRDefault="00F432EB">
      <w:pPr>
        <w:spacing w:after="0" w:line="240" w:lineRule="auto"/>
      </w:pPr>
      <w:r>
        <w:separator/>
      </w:r>
    </w:p>
  </w:endnote>
  <w:endnote w:type="continuationSeparator" w:id="0">
    <w:p w14:paraId="0B686547" w14:textId="77777777" w:rsidR="00F432EB" w:rsidRDefault="00F43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3B771" w14:textId="77777777" w:rsidR="00F432EB" w:rsidRDefault="00F432EB">
      <w:pPr>
        <w:spacing w:after="0" w:line="240" w:lineRule="auto"/>
      </w:pPr>
      <w:r>
        <w:separator/>
      </w:r>
    </w:p>
  </w:footnote>
  <w:footnote w:type="continuationSeparator" w:id="0">
    <w:p w14:paraId="726105BB" w14:textId="77777777" w:rsidR="00F432EB" w:rsidRDefault="00F43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6D7B"/>
    <w:multiLevelType w:val="hybridMultilevel"/>
    <w:tmpl w:val="A348839E"/>
    <w:lvl w:ilvl="0" w:tplc="E2B6EDB2">
      <w:start w:val="1"/>
      <w:numFmt w:val="bullet"/>
      <w:lvlText w:val=""/>
      <w:lvlJc w:val="left"/>
      <w:pPr>
        <w:ind w:left="1080" w:hanging="360"/>
      </w:pPr>
      <w:rPr>
        <w:rFonts w:ascii="Symbol" w:hAnsi="Symbol"/>
      </w:rPr>
    </w:lvl>
    <w:lvl w:ilvl="1" w:tplc="46102E24">
      <w:start w:val="1"/>
      <w:numFmt w:val="bullet"/>
      <w:lvlText w:val=""/>
      <w:lvlJc w:val="left"/>
      <w:pPr>
        <w:ind w:left="1080" w:hanging="360"/>
      </w:pPr>
      <w:rPr>
        <w:rFonts w:ascii="Symbol" w:hAnsi="Symbol"/>
      </w:rPr>
    </w:lvl>
    <w:lvl w:ilvl="2" w:tplc="7DE2B05C">
      <w:start w:val="1"/>
      <w:numFmt w:val="bullet"/>
      <w:lvlText w:val=""/>
      <w:lvlJc w:val="left"/>
      <w:pPr>
        <w:ind w:left="1080" w:hanging="360"/>
      </w:pPr>
      <w:rPr>
        <w:rFonts w:ascii="Symbol" w:hAnsi="Symbol"/>
      </w:rPr>
    </w:lvl>
    <w:lvl w:ilvl="3" w:tplc="5E229F34">
      <w:start w:val="1"/>
      <w:numFmt w:val="bullet"/>
      <w:lvlText w:val=""/>
      <w:lvlJc w:val="left"/>
      <w:pPr>
        <w:ind w:left="1080" w:hanging="360"/>
      </w:pPr>
      <w:rPr>
        <w:rFonts w:ascii="Symbol" w:hAnsi="Symbol"/>
      </w:rPr>
    </w:lvl>
    <w:lvl w:ilvl="4" w:tplc="07D84154">
      <w:start w:val="1"/>
      <w:numFmt w:val="bullet"/>
      <w:lvlText w:val=""/>
      <w:lvlJc w:val="left"/>
      <w:pPr>
        <w:ind w:left="1080" w:hanging="360"/>
      </w:pPr>
      <w:rPr>
        <w:rFonts w:ascii="Symbol" w:hAnsi="Symbol"/>
      </w:rPr>
    </w:lvl>
    <w:lvl w:ilvl="5" w:tplc="C65E9A30">
      <w:start w:val="1"/>
      <w:numFmt w:val="bullet"/>
      <w:lvlText w:val=""/>
      <w:lvlJc w:val="left"/>
      <w:pPr>
        <w:ind w:left="1080" w:hanging="360"/>
      </w:pPr>
      <w:rPr>
        <w:rFonts w:ascii="Symbol" w:hAnsi="Symbol"/>
      </w:rPr>
    </w:lvl>
    <w:lvl w:ilvl="6" w:tplc="97ECE0E8">
      <w:start w:val="1"/>
      <w:numFmt w:val="bullet"/>
      <w:lvlText w:val=""/>
      <w:lvlJc w:val="left"/>
      <w:pPr>
        <w:ind w:left="1080" w:hanging="360"/>
      </w:pPr>
      <w:rPr>
        <w:rFonts w:ascii="Symbol" w:hAnsi="Symbol"/>
      </w:rPr>
    </w:lvl>
    <w:lvl w:ilvl="7" w:tplc="AEB49BD4">
      <w:start w:val="1"/>
      <w:numFmt w:val="bullet"/>
      <w:lvlText w:val=""/>
      <w:lvlJc w:val="left"/>
      <w:pPr>
        <w:ind w:left="1080" w:hanging="360"/>
      </w:pPr>
      <w:rPr>
        <w:rFonts w:ascii="Symbol" w:hAnsi="Symbol"/>
      </w:rPr>
    </w:lvl>
    <w:lvl w:ilvl="8" w:tplc="C4B4DAFE">
      <w:start w:val="1"/>
      <w:numFmt w:val="bullet"/>
      <w:lvlText w:val=""/>
      <w:lvlJc w:val="left"/>
      <w:pPr>
        <w:ind w:left="1080" w:hanging="360"/>
      </w:pPr>
      <w:rPr>
        <w:rFonts w:ascii="Symbol" w:hAnsi="Symbol"/>
      </w:rPr>
    </w:lvl>
  </w:abstractNum>
  <w:abstractNum w:abstractNumId="1" w15:restartNumberingAfterBreak="0">
    <w:nsid w:val="618A98A8"/>
    <w:multiLevelType w:val="multilevel"/>
    <w:tmpl w:val="76C01206"/>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2" w15:restartNumberingAfterBreak="0">
    <w:nsid w:val="6D5707E8"/>
    <w:multiLevelType w:val="multilevel"/>
    <w:tmpl w:val="0194F32E"/>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num w:numId="1" w16cid:durableId="1410422250">
    <w:abstractNumId w:val="1"/>
  </w:num>
  <w:num w:numId="2" w16cid:durableId="1006595024">
    <w:abstractNumId w:val="2"/>
  </w:num>
  <w:num w:numId="3" w16cid:durableId="16256912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ÍA GABRIELA MORENO HURTADO">
    <w15:presenceInfo w15:providerId="AD" w15:userId="S::mgmoreno4@utpl.edu.ec::038abea8-0155-4cc0-8c05-feb418600e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816"/>
    <w:rsid w:val="000900DB"/>
    <w:rsid w:val="001D77CE"/>
    <w:rsid w:val="001F60BE"/>
    <w:rsid w:val="004C156D"/>
    <w:rsid w:val="004C3C02"/>
    <w:rsid w:val="00573B83"/>
    <w:rsid w:val="0067459D"/>
    <w:rsid w:val="007B2816"/>
    <w:rsid w:val="00B50885"/>
    <w:rsid w:val="00B903F8"/>
    <w:rsid w:val="00CA2604"/>
    <w:rsid w:val="00EB7727"/>
    <w:rsid w:val="00F43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E347B"/>
  <w15:docId w15:val="{CE35BDAE-57A4-4E92-90F1-F0E2C3151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ascii="Arial" w:eastAsia="Arial" w:hAnsi="Arial" w:cs="Arial"/>
      <w:color w:val="2E74B5"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es-E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es-ES"/>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es-ES"/>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es-ES"/>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es-ES"/>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es-ES"/>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es-ES"/>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2E74B5"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2E74B5"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2E74B5"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2E74B5" w:themeColor="accent1" w:themeShade="BF"/>
    </w:rPr>
  </w:style>
  <w:style w:type="character" w:customStyle="1" w:styleId="Ttulo5Car">
    <w:name w:val="Título 5 Car"/>
    <w:basedOn w:val="Fuentedeprrafopredeter"/>
    <w:link w:val="Ttulo5"/>
    <w:uiPriority w:val="9"/>
    <w:rPr>
      <w:rFonts w:ascii="Arial" w:eastAsia="Arial" w:hAnsi="Arial" w:cs="Arial"/>
      <w:color w:val="2E74B5"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paragraph" w:styleId="Ttulo">
    <w:name w:val="Title"/>
    <w:basedOn w:val="Normal"/>
    <w:next w:val="Normal"/>
    <w:link w:val="TtuloCar"/>
    <w:uiPriority w:val="10"/>
    <w:qFormat/>
    <w:pPr>
      <w:spacing w:after="80" w:line="240" w:lineRule="auto"/>
      <w:contextualSpacing/>
    </w:pPr>
    <w:rPr>
      <w:rFonts w:ascii="Arial" w:eastAsia="Arial" w:hAnsi="Arial" w:cs="Arial"/>
      <w:spacing w:val="-10"/>
      <w:sz w:val="56"/>
      <w:szCs w:val="56"/>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paragraph" w:styleId="Subttulo">
    <w:name w:val="Subtitle"/>
    <w:basedOn w:val="Normal"/>
    <w:next w:val="Normal"/>
    <w:link w:val="SubttuloCar"/>
    <w:uiPriority w:val="11"/>
    <w:qFormat/>
    <w:pPr>
      <w:numPr>
        <w:ilvl w:val="1"/>
      </w:numPr>
    </w:pPr>
    <w:rPr>
      <w:color w:val="595959" w:themeColor="text1" w:themeTint="A6"/>
      <w:spacing w:val="15"/>
      <w:sz w:val="28"/>
      <w:szCs w:val="28"/>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2E74B5" w:themeColor="accent1" w:themeShade="BF"/>
    </w:rPr>
  </w:style>
  <w:style w:type="paragraph" w:styleId="Citadestacada">
    <w:name w:val="Intense Quote"/>
    <w:basedOn w:val="Normal"/>
    <w:next w:val="Normal"/>
    <w:link w:val="Citadestacada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Pr>
      <w:i/>
      <w:iCs/>
      <w:color w:val="2E74B5" w:themeColor="accent1" w:themeShade="BF"/>
    </w:rPr>
  </w:style>
  <w:style w:type="character" w:styleId="Referenciaintensa">
    <w:name w:val="Intense Reference"/>
    <w:basedOn w:val="Fuentedeprrafopredeter"/>
    <w:uiPriority w:val="32"/>
    <w:qFormat/>
    <w:rPr>
      <w:b/>
      <w:bCs/>
      <w:smallCaps/>
      <w:color w:val="2E74B5" w:themeColor="accent1" w:themeShade="BF"/>
      <w:spacing w:val="5"/>
    </w:r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line="240" w:lineRule="auto"/>
    </w:pPr>
    <w:rPr>
      <w:i/>
      <w:iCs/>
      <w:color w:val="44546A"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954F72"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paragraph" w:styleId="Sinespaciado">
    <w:name w:val="No Spacing"/>
    <w:basedOn w:val="Normal"/>
    <w:uiPriority w:val="1"/>
    <w:qFormat/>
    <w:pPr>
      <w:spacing w:after="0" w:line="240" w:lineRule="auto"/>
    </w:pPr>
  </w:style>
  <w:style w:type="paragraph" w:styleId="Prrafodelista">
    <w:name w:val="List Paragraph"/>
    <w:basedOn w:val="Normal"/>
    <w:uiPriority w:val="34"/>
    <w:qFormat/>
    <w:pPr>
      <w:ind w:left="720"/>
      <w:contextualSpacing/>
    </w:pPr>
  </w:style>
  <w:style w:type="character" w:styleId="Refdecomentario">
    <w:name w:val="annotation reference"/>
    <w:basedOn w:val="Fuentedeprrafopredeter"/>
    <w:uiPriority w:val="99"/>
    <w:semiHidden/>
    <w:unhideWhenUsed/>
    <w:rsid w:val="000900DB"/>
    <w:rPr>
      <w:sz w:val="16"/>
      <w:szCs w:val="16"/>
    </w:rPr>
  </w:style>
  <w:style w:type="paragraph" w:styleId="Textocomentario">
    <w:name w:val="annotation text"/>
    <w:basedOn w:val="Normal"/>
    <w:link w:val="TextocomentarioCar"/>
    <w:uiPriority w:val="99"/>
    <w:unhideWhenUsed/>
    <w:rsid w:val="000900DB"/>
    <w:pPr>
      <w:spacing w:line="240" w:lineRule="auto"/>
    </w:pPr>
    <w:rPr>
      <w:sz w:val="20"/>
      <w:szCs w:val="20"/>
    </w:rPr>
  </w:style>
  <w:style w:type="character" w:customStyle="1" w:styleId="TextocomentarioCar">
    <w:name w:val="Texto comentario Car"/>
    <w:basedOn w:val="Fuentedeprrafopredeter"/>
    <w:link w:val="Textocomentario"/>
    <w:uiPriority w:val="99"/>
    <w:rsid w:val="000900DB"/>
    <w:rPr>
      <w:sz w:val="20"/>
      <w:szCs w:val="20"/>
    </w:rPr>
  </w:style>
  <w:style w:type="paragraph" w:styleId="Asuntodelcomentario">
    <w:name w:val="annotation subject"/>
    <w:basedOn w:val="Textocomentario"/>
    <w:next w:val="Textocomentario"/>
    <w:link w:val="AsuntodelcomentarioCar"/>
    <w:uiPriority w:val="99"/>
    <w:semiHidden/>
    <w:unhideWhenUsed/>
    <w:rsid w:val="000900DB"/>
    <w:rPr>
      <w:b/>
      <w:bCs/>
    </w:rPr>
  </w:style>
  <w:style w:type="character" w:customStyle="1" w:styleId="AsuntodelcomentarioCar">
    <w:name w:val="Asunto del comentario Car"/>
    <w:basedOn w:val="TextocomentarioCar"/>
    <w:link w:val="Asuntodelcomentario"/>
    <w:uiPriority w:val="99"/>
    <w:semiHidden/>
    <w:rsid w:val="000900D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TotalTime>
  <Pages>3</Pages>
  <Words>1358</Words>
  <Characters>7475</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MARÍA GABRIELA MORENO HURTADO</cp:lastModifiedBy>
  <cp:revision>6</cp:revision>
  <dcterms:created xsi:type="dcterms:W3CDTF">2026-07-07T16:07:00Z</dcterms:created>
  <dcterms:modified xsi:type="dcterms:W3CDTF">2026-07-08T23:12:00Z</dcterms:modified>
</cp:coreProperties>
</file>