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21B76BF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 xml:space="preserve">ACADÉMICA EN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9842BE">
        <w:rPr>
          <w:rFonts w:ascii="Arial" w:eastAsia="Tahoma" w:hAnsi="Arial" w:cs="Arial"/>
          <w:b/>
          <w:color w:val="000000"/>
        </w:rPr>
        <w:t>PRODUCCIÓN ANIMAL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6BD29B1" w:rsidR="009521C1"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842BE">
        <w:rPr>
          <w:rFonts w:ascii="Tahoma" w:eastAsia="Tahoma" w:hAnsi="Tahoma" w:cs="Tahoma"/>
          <w:color w:val="000000"/>
        </w:rPr>
        <w:t xml:space="preserve">Dra. Rocío del Carmen Herrera </w:t>
      </w:r>
      <w:proofErr w:type="spellStart"/>
      <w:r w:rsidRPr="009842BE">
        <w:rPr>
          <w:rFonts w:ascii="Tahoma" w:eastAsia="Tahoma" w:hAnsi="Tahoma" w:cs="Tahoma"/>
          <w:color w:val="000000"/>
        </w:rPr>
        <w:t>Herrera</w:t>
      </w:r>
      <w:proofErr w:type="spellEnd"/>
      <w:r w:rsidRPr="009842BE">
        <w:rPr>
          <w:rFonts w:ascii="Tahoma" w:eastAsia="Tahoma" w:hAnsi="Tahoma" w:cs="Tahoma"/>
          <w:color w:val="000000"/>
        </w:rPr>
        <w:t xml:space="preserve"> Mg. Sc.</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6135E">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0B58E2EE"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842BE">
              <w:rPr>
                <w:rFonts w:ascii="Arial" w:eastAsia="Tahoma" w:hAnsi="Arial" w:cs="Arial"/>
                <w:b/>
                <w:color w:val="000000"/>
              </w:rPr>
              <w:t>PRODUCCIÓN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6C0721E9" w:rsidR="00960258" w:rsidRPr="00652C9B" w:rsidRDefault="0066135E"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6135E">
              <w:rPr>
                <w:rFonts w:ascii="Arial" w:eastAsia="Tahoma" w:hAnsi="Arial" w:cs="Arial"/>
                <w:color w:val="000000"/>
              </w:rPr>
              <w:t xml:space="preserve">Dra. Rocío del Carmen Herrera </w:t>
            </w:r>
            <w:proofErr w:type="spellStart"/>
            <w:r w:rsidRPr="0066135E">
              <w:rPr>
                <w:rFonts w:ascii="Arial" w:eastAsia="Tahoma" w:hAnsi="Arial" w:cs="Arial"/>
                <w:color w:val="000000"/>
              </w:rPr>
              <w:t>Herrera</w:t>
            </w:r>
            <w:proofErr w:type="spellEnd"/>
            <w:r w:rsidRPr="0066135E">
              <w:rPr>
                <w:rFonts w:ascii="Arial" w:eastAsia="Tahoma" w:hAnsi="Arial" w:cs="Arial"/>
                <w:color w:val="000000"/>
              </w:rPr>
              <w:t xml:space="preserve">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B6BC771"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C5CAD">
        <w:rPr>
          <w:rFonts w:ascii="Arial" w:eastAsia="Tahoma" w:hAnsi="Arial" w:cs="Arial"/>
          <w:color w:val="000000"/>
        </w:rPr>
        <w:t>Maestría en Producción Animal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AAE4A8F"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3AAB634" w:rsidR="00960258" w:rsidRPr="00652C9B" w:rsidRDefault="00106FA5">
      <w:pPr>
        <w:spacing w:before="240" w:after="240" w:line="240" w:lineRule="auto"/>
        <w:ind w:firstLine="360"/>
        <w:jc w:val="both"/>
        <w:rPr>
          <w:rFonts w:ascii="Arial" w:eastAsia="Tahoma" w:hAnsi="Arial" w:cs="Arial"/>
          <w:color w:val="000000"/>
        </w:rPr>
      </w:pPr>
      <w:r>
        <w:rPr/>
        <w:t>La muestra para la Maestría en Producción Animal, fue de 20,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ED8E16A"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0,5*0,5*20</m:t>
                  </m:r>
                </m:num>
                <m:den>
                  <m:d>
                    <m:dPr>
                      <m:ctrlPr>
                        <w:rPr>
                          <w:rFonts w:ascii="Cambria Math" w:eastAsia="Cambria Math" w:hAnsi="Cambria Math" w:cs="Arial"/>
                        </w:rPr>
                      </m:ctrlPr>
                    </m:dPr>
                    <m:e>
                      <m:r>
                        <w:rPr>
                          <w:rFonts w:ascii="Cambria Math" w:eastAsia="Cambria Math" w:hAnsi="Cambria Math" w:cs="Arial"/>
                        </w:rPr>
                        <m:t>20-1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1E2E5920"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842BE">
              <w:rPr>
                <w:rFonts w:ascii="Arial" w:eastAsia="Arial" w:hAnsi="Arial" w:cs="Arial"/>
                <w:highlight w:val="yellow"/>
              </w:rPr>
              <w:t>9</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20</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masculina (65,00%) frente a un 35,00% de mujeres. El 85,00% son solteros y los rangos de edad predominantes se sitúan entre los 26 y 35 años (70,00%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13</w:t>
            </w:r>
          </w:p>
        </w:tc>
        <w:tc>
          <w:tcPr>
            <w:tcW w:w="945" w:type="pct"/>
            <w:noWrap/>
            <w:hideMark/>
          </w:tcPr>
          <w:p>
            <w:pPr>
              <w:spacing w:before="0" w:after="0"/>
              <w:jc w:val="center"/>
            </w:pPr>
            <w:r>
              <w:t>65,00%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17</w:t>
            </w:r>
          </w:p>
        </w:tc>
        <w:tc>
          <w:tcPr>
            <w:tcW w:w="945" w:type="pct"/>
            <w:noWrap/>
            <w:hideMark/>
          </w:tcPr>
          <w:p>
            <w:pPr>
              <w:spacing w:before="0" w:after="0"/>
              <w:jc w:val="center"/>
            </w:pPr>
            <w:r>
              <w:t>85,00%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45,00%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65,00% de los maestrantes (13 personas) evidencia interés en formarse y actualizarse profesionalmente, mientras que el 35,00% restante (7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spacing w:before="240" w:after="240" w:line="240" w:lineRule="auto"/>
        <w:jc w:val="both"/>
        <w:rPr>
          <w:rFonts w:ascii="Arial" w:eastAsia="Tahoma" w:hAnsi="Arial" w:cs="Arial"/>
          <w:color w:val="000000"/>
          <w:highlight w:val="yellow"/>
        </w:rPr>
      </w:pPr>
      <w:r>
        <w:rPr/>
        <w:t>Los graduados expresaron interés en recibir capacitación en las siguientes temáticas:</w:t>
      </w:r>
    </w:p>
    <w:p>
      <w:pPr>
        <w:spacing w:after="40" w:before="40"/>
        <w:ind w:left="360"/>
      </w:pPr>
      <w:r>
        <w:rPr>
          <w:rFonts w:ascii="Calibri" w:hAnsi="Calibri"/>
          <w:sz w:val="22"/>
        </w:rPr>
        <w:t>• Nutrición animal, producción pecuaria, tratamientos de enfermedades</w:t>
      </w:r>
    </w:p>
    <w:p>
      <w:pPr>
        <w:spacing w:after="40" w:before="40"/>
        <w:ind w:left="360"/>
      </w:pPr>
      <w:r>
        <w:rPr>
          <w:rFonts w:ascii="Calibri" w:hAnsi="Calibri"/>
          <w:sz w:val="22"/>
        </w:rPr>
        <w:t>• Reproducción, Biotecnologías</w:t>
      </w:r>
    </w:p>
    <w:p>
      <w:pPr>
        <w:spacing w:after="40" w:before="40"/>
        <w:ind w:left="360"/>
      </w:pPr>
      <w:r>
        <w:rPr>
          <w:rFonts w:ascii="Calibri" w:hAnsi="Calibri"/>
          <w:sz w:val="22"/>
        </w:rPr>
        <w:t>• Cirugía en especies mayores</w:t>
      </w:r>
    </w:p>
    <w:p>
      <w:pPr>
        <w:spacing w:after="40" w:before="40"/>
        <w:ind w:left="360"/>
      </w:pPr>
      <w:r>
        <w:rPr>
          <w:rFonts w:ascii="Calibri" w:hAnsi="Calibri"/>
          <w:sz w:val="22"/>
        </w:rPr>
        <w:t>• Ciencias veterinarias</w:t>
      </w:r>
    </w:p>
    <w:p>
      <w:pPr>
        <w:spacing w:after="40" w:before="40"/>
        <w:ind w:left="360"/>
      </w:pPr>
      <w:r>
        <w:rPr>
          <w:rFonts w:ascii="Calibri" w:hAnsi="Calibri"/>
          <w:sz w:val="22"/>
        </w:rPr>
        <w:t>• Sobre la Avicultura en ponedoras y de engorde</w:t>
      </w:r>
    </w:p>
    <w:p>
      <w:pPr>
        <w:spacing w:after="40" w:before="40"/>
        <w:ind w:left="360"/>
      </w:pPr>
      <w:r>
        <w:rPr>
          <w:rFonts w:ascii="Calibri" w:hAnsi="Calibri"/>
          <w:sz w:val="22"/>
        </w:rPr>
        <w:t>• Nutrición Avanzada Rumiantes. Reproducción</w:t>
      </w:r>
    </w:p>
    <w:p>
      <w:pPr>
        <w:spacing w:after="40" w:before="40"/>
        <w:ind w:left="360"/>
      </w:pPr>
      <w:r>
        <w:rPr>
          <w:rFonts w:ascii="Calibri" w:hAnsi="Calibri"/>
          <w:sz w:val="22"/>
        </w:rPr>
        <w:t>• Biotecnologia en reproduccion animal</w:t>
      </w:r>
    </w:p>
    <w:p>
      <w:pPr>
        <w:spacing w:after="40" w:before="40"/>
        <w:ind w:left="360"/>
      </w:pPr>
      <w:r>
        <w:rPr>
          <w:rFonts w:ascii="Calibri" w:hAnsi="Calibri"/>
          <w:sz w:val="22"/>
        </w:rPr>
        <w:t>• Nutricion, reproduccion, inseminacion artificial, en bovinos; dermatologia en perros y gatos</w:t>
      </w:r>
    </w:p>
    <w:p>
      <w:pPr>
        <w:spacing w:after="40" w:before="40"/>
        <w:ind w:left="360"/>
      </w:pPr>
      <w:r>
        <w:rPr>
          <w:rFonts w:ascii="Calibri" w:hAnsi="Calibri"/>
          <w:sz w:val="22"/>
        </w:rPr>
        <w:t>• Especies menores</w:t>
      </w:r>
    </w:p>
    <w:p>
      <w:pPr>
        <w:spacing w:after="40" w:before="40"/>
        <w:ind w:left="360"/>
      </w:pPr>
      <w:r>
        <w:rPr>
          <w:rFonts w:ascii="Calibri" w:hAnsi="Calibri"/>
          <w:sz w:val="22"/>
        </w:rPr>
        <w:t>• Nutrición</w:t>
      </w:r>
    </w:p>
    <w:p>
      <w:pPr>
        <w:spacing w:after="40" w:before="40"/>
        <w:ind w:left="360"/>
      </w:pPr>
      <w:r>
        <w:rPr>
          <w:rFonts w:ascii="Calibri" w:hAnsi="Calibri"/>
          <w:sz w:val="22"/>
        </w:rPr>
        <w:t>• Nutrición y farmacología</w:t>
      </w:r>
    </w:p>
    <w:p>
      <w:pPr>
        <w:spacing w:after="40" w:before="40"/>
        <w:ind w:left="360"/>
      </w:pPr>
      <w:r>
        <w:rPr>
          <w:rFonts w:ascii="Calibri" w:hAnsi="Calibri"/>
          <w:sz w:val="22"/>
        </w:rPr>
        <w:t>• Agronegocios</w:t>
      </w:r>
    </w:p>
    <w:p>
      <w:pPr>
        <w:spacing w:after="40" w:before="40"/>
        <w:ind w:left="360"/>
      </w:pPr>
      <w:r>
        <w:rPr>
          <w:rFonts w:ascii="Calibri" w:hAnsi="Calibri"/>
          <w:sz w:val="22"/>
        </w:rPr>
        <w:t>• Nutrición animal</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Pr/>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no registraron sugerencias específicas de capacitación en los datos disponibles.</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Pr/>
        <w:t>Los graduados del programa pertenecen a las siguientes redes de conocimiento e innovación:</w:t>
      </w:r>
    </w:p>
    <w:p>
      <w:pPr>
        <w:spacing w:after="40" w:before="40"/>
        <w:ind w:left="360"/>
      </w:pPr>
      <w:r>
        <w:rPr>
          <w:rFonts w:ascii="Calibri" w:hAnsi="Calibri"/>
          <w:sz w:val="22"/>
        </w:rPr>
        <w:t>• Red de Innovación Pública del Ecuador</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C94D64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C5CAD">
        <w:rPr>
          <w:rFonts w:ascii="Arial" w:eastAsia="Tahoma" w:hAnsi="Arial" w:cs="Arial"/>
          <w:color w:val="000000"/>
        </w:rPr>
        <w:t>Maestría en Producción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Pr/>
        <w:t>Las razones por las cuales los maestrantes no han podido conseguir trabajo incluyen:</w:t>
      </w:r>
    </w:p>
    <w:p>
      <w:pPr>
        <w:spacing w:after="40" w:before="40"/>
        <w:ind w:left="360"/>
      </w:pPr>
      <w:r>
        <w:rPr>
          <w:rFonts w:ascii="Calibri" w:hAnsi="Calibri"/>
          <w:sz w:val="22"/>
        </w:rPr>
        <w:t>• Poco tiempo de experiencia laboral</w:t>
      </w:r>
    </w:p>
    <w:p>
      <w:pPr>
        <w:spacing w:after="40" w:before="40"/>
        <w:ind w:left="360"/>
      </w:pPr>
      <w:r>
        <w:rPr>
          <w:rFonts w:ascii="Calibri" w:hAnsi="Calibri"/>
          <w:sz w:val="22"/>
        </w:rPr>
        <w:t>• Falta de oportunidades</w:t>
      </w:r>
    </w:p>
    <w:p>
      <w:pPr>
        <w:spacing w:after="40" w:before="40"/>
        <w:ind w:left="360"/>
      </w:pPr>
      <w:r>
        <w:rPr>
          <w:rFonts w:ascii="Calibri" w:hAnsi="Calibri"/>
          <w:sz w:val="22"/>
        </w:rPr>
        <w:t>• No existen suficientes ofertas laborales</w:t>
      </w:r>
    </w:p>
    <w:p>
      <w:pPr>
        <w:spacing w:after="40" w:before="40"/>
        <w:ind w:left="360"/>
      </w:pPr>
      <w:r>
        <w:rPr>
          <w:rFonts w:ascii="Calibri" w:hAnsi="Calibri"/>
          <w:sz w:val="22"/>
        </w:rPr>
        <w:t>• Falta de fuentes de empleo</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"Servicios Agropecuarios Las Huertas", "Agrovital", "Distriagro",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65,00%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Aeve</w:t>
      </w:r>
    </w:p>
    <w:p>
      <w:pPr>
        <w:spacing w:after="40" w:before="40"/>
        <w:ind w:left="360"/>
      </w:pPr>
      <w:r>
        <w:rPr>
          <w:rFonts w:ascii="Calibri" w:hAnsi="Calibri"/>
          <w:sz w:val="22"/>
        </w:rPr>
        <w:t>• Universidad tecnica particular de loja</w:t>
      </w:r>
    </w:p>
    <w:p>
      <w:pPr>
        <w:spacing w:after="40" w:before="40"/>
        <w:ind w:left="360"/>
      </w:pPr>
      <w:r>
        <w:rPr>
          <w:rFonts w:ascii="Calibri" w:hAnsi="Calibri"/>
          <w:sz w:val="22"/>
        </w:rPr>
        <w:t>• Universidad central del ecuador</w:t>
      </w:r>
    </w:p>
    <w:p>
      <w:pPr>
        <w:spacing w:after="40" w:before="40"/>
        <w:ind w:left="360"/>
      </w:pPr>
      <w:r>
        <w:rPr>
          <w:rFonts w:ascii="Calibri" w:hAnsi="Calibri"/>
          <w:sz w:val="22"/>
        </w:rPr>
        <w:t>• Empresa privada</w:t>
      </w:r>
    </w:p>
    <w:p>
      <w:pPr>
        <w:spacing w:after="40" w:before="40"/>
        <w:ind w:left="360"/>
      </w:pPr>
      <w:r>
        <w:rPr>
          <w:rFonts w:ascii="Calibri" w:hAnsi="Calibri"/>
          <w:sz w:val="22"/>
        </w:rPr>
        <w:t>• Agrocalidad</w:t>
      </w:r>
    </w:p>
    <w:p>
      <w:pPr>
        <w:spacing w:after="40" w:before="40"/>
        <w:ind w:left="360"/>
      </w:pPr>
      <w:r>
        <w:rPr>
          <w:rFonts w:ascii="Calibri" w:hAnsi="Calibri"/>
          <w:sz w:val="22"/>
        </w:rPr>
        <w:t>• Farbiobet</w:t>
      </w:r>
    </w:p>
    <w:p>
      <w:pPr>
        <w:spacing w:after="40" w:before="40"/>
        <w:ind w:left="360"/>
      </w:pPr>
      <w:r>
        <w:rPr>
          <w:rFonts w:ascii="Calibri" w:hAnsi="Calibri"/>
          <w:sz w:val="22"/>
        </w:rPr>
        <w:t>• Ciheham zaragoza</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Pr/>
        <w:t>No se registraron datos sobre el apoyo institucional recibido por los maestrantes para sus estudios de posgrado en la cohorte analizada.</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t>Los empleadores consultados no registraron sugerencias específicas de capacitación en los datos disponibles.</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t>Esta dimensión recoge la percepción de los propios maestrantes sobre la demanda actual de profesionales de la MAESTRÍA EN PRODUCCIÓN ANIMAL - hibrida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resultados desde la perspectiva de los empleadores revelan que los 0 empleadores consultados no registraron información cuantificable sobre la percepción de la demanda de profesionales de la carrera.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Pr/>
        <w:t>El perfil demográfico de la cohorte 2025 está compuesto mayoritariamente por hombres (65,00%), en su mayoría solteros (85,00%), de entre 26 y 35 años (70,00%), lo que es indicativo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Pr/>
        <w:t>Existe un alto interés por la formación continua: el 65,00% de los maestrantes expresa interés en actualizarse profesionalmente, destacando una preferencia marcada por programas de Doctorado (35,00%).</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Pr/>
        <w:t>Existe una dependencia marcada del sector público para la absorción de los maestrantes (10,00%), seguido del sector privado (20,00%), lo que sugiere la necesidad de diversificar las estrategias de inserción laboral.</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Revisión Curricular: Integrar transversalmente el eje de emprendimiento y gestión empresarial en el programa, dado que apenas el 15,00% de la cohorte opera bajo modalidades de autoempleo formal.</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Pr/>
        <w:t>Fortalecimiento Institucional: Optimizar la Bolsa de Empleo de la UNL mediante convenios con empleadores del sector. Actualmente solo el 0,00% de los maestrantes la considera efectiva, frente al 30,00% que reporta baja utilidad.</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6135E">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35E"/>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7472C"/>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496F8C5-0F96-45A0-9937-688DBD89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30</Pages>
  <Words>7727</Words>
  <Characters>42499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332</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