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4984AF6D"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EN PEDAGOGÍA DEL INGLÉS COMO LENGUA EXTRANJERA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2E108405" w:rsidR="009521C1" w:rsidRDefault="000A1C00"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0A1C00">
        <w:rPr>
          <w:rFonts w:ascii="Tahoma" w:eastAsia="Tahoma" w:hAnsi="Tahoma" w:cs="Tahoma"/>
          <w:color w:val="000000"/>
        </w:rPr>
        <w:t>PhD. Miriam Troya Sánchez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6C384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B0B876E"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0A1C00">
              <w:rPr>
                <w:rFonts w:ascii="Arial" w:eastAsia="Tahoma" w:hAnsi="Arial" w:cs="Arial"/>
                <w:b/>
                <w:color w:val="000000"/>
              </w:rPr>
              <w:t>EN PEDAGOGÍA DEL INGLÉS COMO LENGUA EXTRANJERA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0</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94987B7" w:rsidR="00960258" w:rsidRPr="00652C9B" w:rsidRDefault="006C3849"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C3849">
              <w:rPr>
                <w:rFonts w:ascii="Arial" w:eastAsia="Tahoma" w:hAnsi="Arial" w:cs="Arial"/>
                <w:color w:val="000000"/>
              </w:rPr>
              <w:t>PhD. Miriam Troya Sánchez.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1C0D060"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0A1C00">
        <w:rPr>
          <w:rFonts w:ascii="Arial" w:eastAsia="Tahoma" w:hAnsi="Arial" w:cs="Arial"/>
          <w:color w:val="000000"/>
        </w:rPr>
        <w:t>Maestría en Pedagogía del Inglés como Lengua Extranjera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17392D8E"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A74AA75" w:rsidR="00960258" w:rsidRPr="00652C9B" w:rsidRDefault="00106FA5">
      <w:pPr>
        <w:spacing w:before="240" w:after="240" w:line="240" w:lineRule="auto"/>
        <w:ind w:firstLine="360"/>
        <w:jc w:val="both"/>
        <w:rPr>
          <w:rFonts w:ascii="Arial" w:eastAsia="Tahoma" w:hAnsi="Arial" w:cs="Arial"/>
          <w:color w:val="000000"/>
        </w:rPr>
      </w:pPr>
      <w:r>
        <w:rPr/>
        <w:t>La muestra para la Maestría en Pedagogía del Inglés como Lengua Extranjera, fue de 20,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55022CB"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0,5*0,5*24</m:t>
                  </m:r>
                </m:num>
                <m:den>
                  <m:d>
                    <m:dPr>
                      <m:ctrlPr>
                        <w:rPr>
                          <w:rFonts w:ascii="Cambria Math" w:eastAsia="Cambria Math" w:hAnsi="Cambria Math" w:cs="Arial"/>
                        </w:rPr>
                      </m:ctrlPr>
                    </m:dPr>
                    <m:e>
                      <m:r>
                        <w:rPr>
                          <w:rFonts w:ascii="Cambria Math" w:eastAsia="Cambria Math" w:hAnsi="Cambria Math" w:cs="Arial"/>
                        </w:rPr>
                        <m:t>24-1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ECE85AF"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0A1C00">
              <w:rPr>
                <w:rFonts w:ascii="Arial" w:eastAsia="Arial" w:hAnsi="Arial" w:cs="Arial"/>
                <w:highlight w:val="yellow"/>
              </w:rPr>
              <w:t>22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5F2D5CE2" w14:textId="77777777" w:rsidR="000E2972" w:rsidRDefault="000E2972" w:rsidP="000E2972">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0E2972" w14:paraId="34C23EA0" w14:textId="77777777" w:rsidTr="00E919C2">
        <w:trPr>
          <w:trHeight w:val="1456"/>
        </w:trPr>
        <w:tc>
          <w:tcPr>
            <w:tcW w:w="2727" w:type="dxa"/>
            <w:tcBorders>
              <w:top w:val="nil"/>
              <w:left w:val="nil"/>
              <w:bottom w:val="nil"/>
              <w:right w:val="nil"/>
            </w:tcBorders>
            <w:tcMar>
              <w:top w:w="0" w:type="dxa"/>
              <w:left w:w="108" w:type="dxa"/>
              <w:bottom w:w="0" w:type="dxa"/>
              <w:right w:w="108" w:type="dxa"/>
            </w:tcMar>
          </w:tcPr>
          <w:p w14:paraId="6A512C8E" w14:textId="77777777" w:rsidR="000E2972" w:rsidRDefault="000E2972" w:rsidP="00E919C2">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4727375A" w14:textId="2B4C622D" w:rsidR="000E2972" w:rsidRDefault="000E2972" w:rsidP="00E919C2">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22*24</m:t>
                    </m:r>
                  </m:num>
                  <m:den>
                    <m:r>
                      <w:rPr>
                        <w:rFonts w:ascii="Cambria Math" w:eastAsia="Cambria Math" w:hAnsi="Cambria Math" w:cs="Cambria Math"/>
                        <w:color w:val="000000"/>
                        <w:sz w:val="28"/>
                        <w:szCs w:val="28"/>
                      </w:rPr>
                      <m:t>22+24</m:t>
                    </m:r>
                  </m:den>
                </m:f>
                <m:r>
                  <w:rPr>
                    <w:rFonts w:ascii="Cambria Math" w:eastAsia="Cambria Math" w:hAnsi="Cambria Math" w:cs="Cambria Math"/>
                    <w:color w:val="000000"/>
                    <w:sz w:val="28"/>
                    <w:szCs w:val="28"/>
                  </w:rPr>
                  <m:t>=12</m:t>
                </m:r>
              </m:oMath>
            </m:oMathPara>
          </w:p>
        </w:tc>
        <w:tc>
          <w:tcPr>
            <w:tcW w:w="5130" w:type="dxa"/>
            <w:tcBorders>
              <w:top w:val="nil"/>
              <w:left w:val="nil"/>
              <w:bottom w:val="nil"/>
              <w:right w:val="nil"/>
            </w:tcBorders>
            <w:tcMar>
              <w:top w:w="0" w:type="dxa"/>
              <w:left w:w="108" w:type="dxa"/>
              <w:bottom w:w="0" w:type="dxa"/>
              <w:right w:w="108" w:type="dxa"/>
            </w:tcMar>
          </w:tcPr>
          <w:p w14:paraId="46834386" w14:textId="77777777" w:rsidR="000E2972" w:rsidRDefault="000E2972" w:rsidP="00E919C2">
            <w:pPr>
              <w:spacing w:before="0" w:after="0"/>
              <w:ind w:right="-8"/>
              <w:jc w:val="left"/>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9C53F5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rPr>
        <w:t>20</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6C3849">
        <w:rPr/>
        <w:fldChar w:fldCharType="begin"/>
      </w:r>
      <w:r w:rsidR="006C3849">
        <w:rPr/>
        <w:instrText xml:space="preserve"> SEQ Tabla \* ARABIC </w:instrText>
      </w:r>
      <w:r w:rsidR="006C3849">
        <w:rPr/>
        <w:fldChar w:fldCharType="separate"/>
      </w:r>
      <w:r w:rsidR="005D60C3">
        <w:rPr>
          <w:noProof/>
        </w:rPr>
        <w:t>1</w:t>
      </w:r>
      <w:r w:rsidR="006C3849">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20 maestrantes, con una marcada predominancia femenina (70,00%) frente a un 30,00% de hombres. El 60,00% son solteros y los rangos de edad predominantes se sitúan entre los 26 y 35 años (45,00%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6C3849">
        <w:rPr/>
        <w:fldChar w:fldCharType="begin"/>
      </w:r>
      <w:r w:rsidR="006C3849">
        <w:rPr/>
        <w:instrText xml:space="preserve"> SEQ Tabla \* ARABIC </w:instrText>
      </w:r>
      <w:r w:rsidR="006C3849">
        <w:rPr/>
        <w:fldChar w:fldCharType="separate"/>
      </w:r>
      <w:r w:rsidR="005D60C3">
        <w:rPr>
          <w:noProof/>
        </w:rPr>
        <w:t>2</w:t>
      </w:r>
      <w:r w:rsidR="006C3849">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6</w:t>
            </w:r>
          </w:p>
        </w:tc>
        <w:tc>
          <w:tcPr>
            <w:tcW w:w="945" w:type="pct"/>
            <w:noWrap/>
            <w:hideMark/>
          </w:tcPr>
          <w:p>
            <w:pPr>
              <w:spacing w:before="0" w:after="0"/>
              <w:jc w:val="center"/>
            </w:pPr>
            <w:r>
              <w:t>30,00%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14</w:t>
            </w:r>
          </w:p>
        </w:tc>
        <w:tc>
          <w:tcPr>
            <w:tcW w:w="945" w:type="pct"/>
            <w:noWrap/>
            <w:hideMark/>
          </w:tcPr>
          <w:p>
            <w:pPr>
              <w:spacing w:before="0" w:after="0"/>
              <w:jc w:val="center"/>
            </w:pPr>
            <w:r>
              <w:t>70,00%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12</w:t>
            </w:r>
          </w:p>
        </w:tc>
        <w:tc>
          <w:tcPr>
            <w:tcW w:w="945" w:type="pct"/>
            <w:noWrap/>
            <w:hideMark/>
          </w:tcPr>
          <w:p>
            <w:pPr>
              <w:spacing w:before="0" w:after="0"/>
              <w:jc w:val="center"/>
            </w:pPr>
            <w:r>
              <w:t>60,00%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7</w:t>
            </w:r>
          </w:p>
        </w:tc>
        <w:tc>
          <w:tcPr>
            <w:tcW w:w="945" w:type="pct"/>
            <w:noWrap/>
            <w:hideMark/>
          </w:tcPr>
          <w:p>
            <w:pPr>
              <w:spacing w:before="0" w:after="0"/>
              <w:jc w:val="center"/>
            </w:pPr>
            <w:r>
              <w:t>35,00%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6</w:t>
            </w:r>
          </w:p>
        </w:tc>
        <w:tc>
          <w:tcPr>
            <w:tcW w:w="945" w:type="pct"/>
            <w:noWrap/>
            <w:hideMark/>
          </w:tcPr>
          <w:p>
            <w:pPr>
              <w:spacing w:before="0" w:after="0"/>
              <w:jc w:val="center"/>
            </w:pPr>
            <w:r>
              <w:t>30,00%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FBAB5E3" w14:textId="5D73FF6A" w:rsidR="000A1C00" w:rsidRPr="000A1C00"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Pr>
          <w:rFonts w:ascii="Arial" w:eastAsia="Tahoma" w:hAnsi="Arial" w:cs="Arial"/>
          <w:color w:val="000000"/>
        </w:rPr>
        <w:t xml:space="preserve">Asesora, </w:t>
      </w:r>
      <w:r w:rsidRPr="000A1C00">
        <w:rPr>
          <w:rFonts w:ascii="Arial" w:eastAsia="Tahoma" w:hAnsi="Arial" w:cs="Arial"/>
          <w:color w:val="000000"/>
        </w:rPr>
        <w:t xml:space="preserve">diseña, ejecuta y evalúa procesos didácticos para la enseñanza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fundamentados en metodologías dinámicas e innovadoras, el uso de tecnologías de la información y la comunicación, y el uso de materiales y recursos didácticos efectivos.</w:t>
      </w:r>
    </w:p>
    <w:p w14:paraId="08E08336" w14:textId="77777777" w:rsidR="000A1C00" w:rsidRPr="000A1C00"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A1C00">
        <w:rPr>
          <w:rFonts w:ascii="Arial" w:eastAsia="Tahoma" w:hAnsi="Arial" w:cs="Arial"/>
          <w:color w:val="000000"/>
        </w:rPr>
        <w:t xml:space="preserve">Diseña, aplica y valida estrategias, técnicas e instrumentos para la evaluación de las competencias lingüísticas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en correspondencia con los aprendizajes y competencias comunicativas  a desarrollar.</w:t>
      </w:r>
    </w:p>
    <w:p w14:paraId="62F4FC7B" w14:textId="28166C82" w:rsidR="00E03B49" w:rsidRPr="00292913"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A1C00">
        <w:rPr>
          <w:rFonts w:ascii="Arial" w:eastAsia="Tahoma" w:hAnsi="Arial" w:cs="Arial"/>
          <w:color w:val="000000"/>
        </w:rPr>
        <w:t xml:space="preserve">Asesora e implementa proyectos de investigación sobre la enseñanza-aprendizaje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para incorporar sus hallazgos en la práctica pedagógica</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75,00% de los maestrantes (15 personas) evidencia interés en formarse y actualizarse profesionalmente, mientras que el 25,00% restante (5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3</w:t>
      </w:r>
      <w:r w:rsidR="006C3849">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Investigación</w:t>
      </w:r>
    </w:p>
    <w:p>
      <w:pPr>
        <w:spacing w:after="40" w:before="40"/>
        <w:ind w:left="360"/>
      </w:pPr>
      <w:r>
        <w:rPr>
          <w:rFonts w:ascii="Calibri" w:hAnsi="Calibri"/>
          <w:sz w:val="22"/>
        </w:rPr>
        <w:t>• Lingüística</w:t>
      </w:r>
    </w:p>
    <w:p>
      <w:pPr>
        <w:spacing w:after="40" w:before="40"/>
        <w:ind w:left="360"/>
      </w:pPr>
      <w:r>
        <w:rPr>
          <w:rFonts w:ascii="Calibri" w:hAnsi="Calibri"/>
          <w:sz w:val="22"/>
        </w:rPr>
        <w:t>• Enseñanza del ingles</w:t>
      </w:r>
    </w:p>
    <w:p>
      <w:pPr>
        <w:spacing w:after="40" w:before="40"/>
        <w:ind w:left="360"/>
      </w:pPr>
      <w:r>
        <w:rPr>
          <w:rFonts w:ascii="Calibri" w:hAnsi="Calibri"/>
          <w:sz w:val="22"/>
        </w:rPr>
        <w:t>• Virtuales, sobre IA,</w:t>
      </w:r>
    </w:p>
    <w:p>
      <w:pPr>
        <w:spacing w:after="40" w:before="40"/>
        <w:ind w:left="360"/>
      </w:pPr>
      <w:r>
        <w:rPr>
          <w:rFonts w:ascii="Calibri" w:hAnsi="Calibri"/>
          <w:sz w:val="22"/>
        </w:rPr>
        <w:t>• Innovación y tecnología. Metodologías de enseñanza. Liderazgo y gestión de equipos</w:t>
      </w:r>
    </w:p>
    <w:p>
      <w:pPr>
        <w:spacing w:after="40" w:before="40"/>
        <w:ind w:left="360"/>
      </w:pPr>
      <w:r>
        <w:rPr>
          <w:rFonts w:ascii="Calibri" w:hAnsi="Calibri"/>
          <w:sz w:val="22"/>
        </w:rPr>
        <w:t>• Inglés</w:t>
      </w:r>
    </w:p>
    <w:p>
      <w:pPr>
        <w:spacing w:after="40" w:before="40"/>
        <w:ind w:left="360"/>
      </w:pPr>
      <w:r>
        <w:rPr>
          <w:rFonts w:ascii="Calibri" w:hAnsi="Calibri"/>
          <w:sz w:val="22"/>
        </w:rPr>
        <w:t>• Manejo de IA para la enseñanza</w:t>
      </w:r>
    </w:p>
    <w:p>
      <w:pPr>
        <w:spacing w:after="40" w:before="40"/>
        <w:ind w:left="360"/>
      </w:pPr>
      <w:r>
        <w:rPr>
          <w:rFonts w:ascii="Calibri" w:hAnsi="Calibri"/>
          <w:sz w:val="22"/>
        </w:rPr>
        <w:t>• En enseña del idioma ingles</w:t>
      </w:r>
    </w:p>
    <w:p>
      <w:pPr>
        <w:spacing w:after="40" w:before="40"/>
        <w:ind w:left="360"/>
      </w:pPr>
      <w:r>
        <w:rPr>
          <w:rFonts w:ascii="Calibri" w:hAnsi="Calibri"/>
          <w:sz w:val="22"/>
        </w:rPr>
        <w:t>• Buen uso de inteligencia artificial en la educacion</w:t>
      </w:r>
    </w:p>
    <w:p>
      <w:pPr>
        <w:spacing w:after="40" w:before="40"/>
        <w:ind w:left="360"/>
      </w:pPr>
      <w:r>
        <w:rPr>
          <w:rFonts w:ascii="Calibri" w:hAnsi="Calibri"/>
          <w:sz w:val="22"/>
        </w:rPr>
        <w:t>• Educación</w:t>
      </w:r>
    </w:p>
    <w:p>
      <w:pPr>
        <w:spacing w:after="40" w:before="40"/>
        <w:ind w:left="360"/>
      </w:pPr>
      <w:r>
        <w:rPr>
          <w:rFonts w:ascii="Calibri" w:hAnsi="Calibri"/>
          <w:sz w:val="22"/>
        </w:rPr>
        <w:t>• Educacion</w:t>
      </w:r>
    </w:p>
    <w:p>
      <w:pPr>
        <w:spacing w:after="40" w:before="40"/>
        <w:ind w:left="360"/>
      </w:pPr>
      <w:r>
        <w:rPr>
          <w:rFonts w:ascii="Calibri" w:hAnsi="Calibri"/>
          <w:sz w:val="22"/>
        </w:rPr>
        <w:t>• Congresos, seminarios</w:t>
      </w:r>
    </w:p>
    <w:p>
      <w:pPr>
        <w:spacing w:after="40" w:before="40"/>
        <w:ind w:left="360"/>
      </w:pPr>
      <w:r>
        <w:rPr>
          <w:rFonts w:ascii="Calibri" w:hAnsi="Calibri"/>
          <w:sz w:val="22"/>
        </w:rPr>
        <w:t>• Pronunciación y fonética, Diseño de actividades y materiales didácticos</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no registraron sugerencias específicas de capacitación en los datos disponibles.</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Jeels</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15D7AAD0"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0A1C00">
        <w:rPr>
          <w:rFonts w:ascii="Arial" w:eastAsia="Tahoma" w:hAnsi="Arial" w:cs="Arial"/>
          <w:color w:val="000000"/>
        </w:rPr>
        <w:t>Maestría en Pedagogía del Inglés como Lengua Extranjera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4</w:t>
      </w:r>
      <w:r w:rsidR="006C3849">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5</w:t>
      </w:r>
      <w:r w:rsidR="006C3849">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6</w:t>
      </w:r>
      <w:r w:rsidR="006C384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50,00%</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7</w:t>
      </w:r>
      <w:r w:rsidR="006C3849">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Falta de experiencia</w:t>
      </w:r>
    </w:p>
    <w:p>
      <w:pPr>
        <w:spacing w:after="40" w:before="40"/>
        <w:ind w:left="360"/>
      </w:pPr>
      <w:r>
        <w:rPr>
          <w:rFonts w:ascii="Calibri" w:hAnsi="Calibri"/>
          <w:sz w:val="22"/>
        </w:rPr>
        <w:t>• Empleadores buscan gente más joven</w:t>
      </w:r>
    </w:p>
    <w:p>
      <w:pPr>
        <w:spacing w:after="40" w:before="40"/>
        <w:ind w:left="360"/>
      </w:pPr>
      <w:r>
        <w:rPr>
          <w:rFonts w:ascii="Calibri" w:hAnsi="Calibri"/>
          <w:sz w:val="22"/>
        </w:rPr>
        <w:t>• La situación del pais</w:t>
      </w:r>
    </w:p>
    <w:p>
      <w:pPr>
        <w:spacing w:after="40" w:before="40"/>
        <w:ind w:left="360"/>
      </w:pPr>
      <w:r>
        <w:rPr>
          <w:rFonts w:ascii="Calibri" w:hAnsi="Calibri"/>
          <w:sz w:val="22"/>
        </w:rPr>
        <w:t>• Falta de experiencia y oportunidad de trabajar. Piden experiencia previa</w:t>
      </w:r>
    </w:p>
    <w:p>
      <w:pPr>
        <w:spacing w:after="40" w:before="40"/>
        <w:ind w:left="360"/>
      </w:pPr>
      <w:r>
        <w:rPr>
          <w:rFonts w:ascii="Calibri" w:hAnsi="Calibri"/>
          <w:sz w:val="22"/>
        </w:rPr>
        <w:t>• Falta de oportunidades y lejanía de ciudades grandes.</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8</w:t>
      </w:r>
      <w:r w:rsidR="006C3849">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Pr>
          <w:noProof/>
        </w:rPr>
        <w:t>9</w:t>
      </w:r>
      <w:r w:rsidR="006C384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No se reportaron nombres específicos de emprendimientos formalizados en la cohorte analizada.</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Pr>
          <w:noProof/>
        </w:rPr>
        <w:t>10</w:t>
      </w:r>
      <w:r w:rsidR="006C3849">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70,00%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Ibero ciencias</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Unir</w:t>
      </w:r>
    </w:p>
    <w:p>
      <w:pPr>
        <w:spacing w:after="40" w:before="40"/>
        <w:ind w:left="360"/>
      </w:pPr>
      <w:r>
        <w:rPr>
          <w:rFonts w:ascii="Calibri" w:hAnsi="Calibri"/>
          <w:sz w:val="22"/>
        </w:rPr>
        <w:t>• Puce</w:t>
      </w:r>
    </w:p>
    <w:p>
      <w:pPr>
        <w:spacing w:after="40" w:before="40"/>
        <w:ind w:left="360"/>
      </w:pPr>
      <w:r>
        <w:rPr>
          <w:rFonts w:ascii="Calibri" w:hAnsi="Calibri"/>
          <w:sz w:val="22"/>
        </w:rPr>
        <w:t>• Universidad Casa Grande</w:t>
      </w:r>
    </w:p>
    <w:p>
      <w:pPr>
        <w:spacing w:after="40" w:before="40"/>
        <w:ind w:left="360"/>
      </w:pPr>
      <w:r>
        <w:rPr>
          <w:rFonts w:ascii="Calibri" w:hAnsi="Calibri"/>
          <w:sz w:val="22"/>
        </w:rPr>
        <w:t>• Online Professional English Network (OPEN) beca de la embajada de los Estados Unidos de América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No se registraron datos sobre el apoyo institucional recibido por los maestrantes para sus estudios de posgrado en la cohorte analizada.</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t>Los empleadores consultados no registraron sugerencias específicas de capacitación en los datos disponibles.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ACADÉMICA  EN PEDAGOGÍA DEL INGLÉS COMO LENGUA EXTRANJERA - en linea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Pr>
          <w:noProof/>
        </w:rPr>
        <w:t>11</w:t>
      </w:r>
      <w:r w:rsidR="006C3849">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35,00%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50,00%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15,00%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resultados desde la perspectiva de los empleadores revelan que los 0 empleadores consultados no registraron información cuantificable sobre la percepción de la demanda de profesionales de la carrera.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mujeres (70,00%), en su mayoría solteros (60,00%), de entre 26 y 35 años (45,00%),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75,00% de los maestrantes expresa interés en actualizarse profesionalmente, destacando una preferencia marcada por programas de Doctorado (35,00%).</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(50,00%), seguido del sector privado (25,00%),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0,00%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15,00% de los maestrantes la considera efectiva, frente al 60,00%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6C384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F384BD3"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en Pedagogía del Inglés como Lengua Extranjera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2F384BD3"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en Pedagogía del Inglés como Lengua Extranjera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97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3849"/>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E930BC9-00CB-48A3-A792-956EB418C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30</Pages>
  <Words>7806</Words>
  <Characters>42938</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334</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