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36C7E488"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 xml:space="preserve">EN </w:t>
      </w:r>
      <w:r w:rsidR="005B316A">
        <w:rPr>
          <w:rFonts w:ascii="Arial" w:eastAsia="Tahoma" w:hAnsi="Arial" w:cs="Arial"/>
          <w:b/>
          <w:color w:val="000000"/>
        </w:rPr>
        <w:t xml:space="preserve">EDUCACIÓN </w:t>
      </w:r>
      <w:r w:rsidR="008955E9">
        <w:rPr>
          <w:rFonts w:ascii="Arial" w:eastAsia="Tahoma" w:hAnsi="Arial" w:cs="Arial"/>
          <w:b/>
          <w:color w:val="000000"/>
        </w:rPr>
        <w:t>INICIAL</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59186E32" w:rsidR="009521C1" w:rsidRDefault="001F155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Pr>
          <w:rFonts w:ascii="Tahoma" w:eastAsia="Tahoma" w:hAnsi="Tahoma" w:cs="Tahoma"/>
          <w:color w:val="000000"/>
        </w:rPr>
        <w:t xml:space="preserve">Mgtr. </w:t>
      </w:r>
      <w:r w:rsidRPr="001F1559">
        <w:rPr>
          <w:rFonts w:ascii="Tahoma" w:eastAsia="Tahoma" w:hAnsi="Tahoma" w:cs="Tahoma"/>
          <w:color w:val="000000"/>
        </w:rPr>
        <w:t>Jaime Efrén Chillogallo Ordóñez</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3D36B2">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3D36B2">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3D36B2">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3D36B2">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B899C95"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 xml:space="preserve">MAESTRÍA EN EDUCACIÓN </w:t>
            </w:r>
            <w:r w:rsidR="00490B10">
              <w:rPr>
                <w:rFonts w:ascii="Arial" w:eastAsia="Tahoma" w:hAnsi="Arial" w:cs="Arial"/>
                <w:b/>
                <w:color w:val="000000"/>
              </w:rPr>
              <w:t xml:space="preserve">INICIAL </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10</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9</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5D94FFDB" w:rsidR="00960258" w:rsidRPr="00652C9B" w:rsidRDefault="003D36B2"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D36B2">
              <w:rPr>
                <w:rFonts w:ascii="Arial" w:eastAsia="Tahoma" w:hAnsi="Arial" w:cs="Arial"/>
                <w:color w:val="000000"/>
              </w:rPr>
              <w:t>Mgtr. Jaime Efrén Chillogallo Ordóñez.</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7A63B3C6"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46581A">
        <w:rPr>
          <w:rFonts w:ascii="Arial" w:eastAsia="Tahoma" w:hAnsi="Arial" w:cs="Arial"/>
          <w:color w:val="000000"/>
        </w:rPr>
        <w:t>Maestría en Educación Inicial</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507F026C"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10.</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4E5CFEBF" w:rsidR="00960258" w:rsidRPr="00652C9B" w:rsidRDefault="00106FA5">
      <w:pPr>
        <w:spacing w:before="240" w:after="240" w:line="240" w:lineRule="auto"/>
        <w:ind w:firstLine="360"/>
        <w:jc w:val="both"/>
        <w:rPr>
          <w:rFonts w:ascii="Arial" w:eastAsia="Tahoma" w:hAnsi="Arial" w:cs="Arial"/>
          <w:color w:val="000000"/>
        </w:rPr>
      </w:pPr>
      <w:r>
        <w:rPr/>
        <w:t>La muestra para la Maestría en Educación Inicial, fue de 10,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3DCB55B5"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0,5*0,5*14</m:t>
                  </m:r>
                </m:num>
                <m:den>
                  <m:d>
                    <m:dPr>
                      <m:ctrlPr>
                        <w:rPr>
                          <w:rFonts w:ascii="Cambria Math" w:eastAsia="Cambria Math" w:hAnsi="Cambria Math" w:cs="Arial"/>
                        </w:rPr>
                      </m:ctrlPr>
                    </m:dPr>
                    <m:e>
                      <m:r>
                        <w:rPr>
                          <w:rFonts w:ascii="Cambria Math" w:eastAsia="Cambria Math" w:hAnsi="Cambria Math" w:cs="Arial"/>
                        </w:rPr>
                        <m:t>14-1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74004DA9"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1F1559">
              <w:rPr>
                <w:rFonts w:ascii="Arial" w:eastAsia="Arial" w:hAnsi="Arial" w:cs="Arial"/>
              </w:rPr>
              <w:t>1</w:t>
            </w:r>
            <w:r w:rsidR="00490B10">
              <w:rPr>
                <w:rFonts w:ascii="Arial" w:eastAsia="Arial" w:hAnsi="Arial" w:cs="Arial"/>
              </w:rPr>
              <w:t>3</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271E1D2D" w14:textId="77777777" w:rsidR="00903A67" w:rsidRDefault="00903A67" w:rsidP="00903A67">
      <w:pPr>
        <w:spacing w:before="240" w:after="240"/>
        <w:ind w:firstLine="360"/>
        <w:jc w:val="both"/>
        <w:rPr>
          <w:rFonts w:ascii="Tahoma" w:eastAsia="Tahoma" w:hAnsi="Tahoma" w:cs="Tahoma"/>
          <w:color w:val="000000"/>
          <w:sz w:val="20"/>
          <w:szCs w:val="20"/>
        </w:rPr>
      </w:pPr>
      <w:r>
        <w:rPr>
          <w:rFonts w:ascii="Tahoma" w:eastAsia="Tahoma" w:hAnsi="Tahoma" w:cs="Tahoma"/>
          <w:color w:val="000000"/>
          <w:sz w:val="20"/>
          <w:szCs w:val="20"/>
        </w:rPr>
        <w:t>Por lo que se realizó una disminución del tamaño de la muestra, aplicando la siguiente fórmula:</w:t>
      </w:r>
    </w:p>
    <w:tbl>
      <w:tblPr>
        <w:tblW w:w="7857" w:type="dxa"/>
        <w:tblInd w:w="421" w:type="dxa"/>
        <w:tblBorders>
          <w:top w:val="nil"/>
          <w:left w:val="nil"/>
          <w:bottom w:val="nil"/>
          <w:right w:val="nil"/>
          <w:insideH w:val="nil"/>
          <w:insideV w:val="nil"/>
        </w:tblBorders>
        <w:tblLayout w:type="fixed"/>
        <w:tblLook w:val="0000" w:firstRow="0" w:lastRow="0" w:firstColumn="0" w:lastColumn="0" w:noHBand="0" w:noVBand="0"/>
      </w:tblPr>
      <w:tblGrid>
        <w:gridCol w:w="2727"/>
        <w:gridCol w:w="5130"/>
      </w:tblGrid>
      <w:tr w:rsidR="00903A67" w14:paraId="31CFCD35" w14:textId="77777777" w:rsidTr="006E6D05">
        <w:trPr>
          <w:trHeight w:val="1456"/>
        </w:trPr>
        <w:tc>
          <w:tcPr>
            <w:tcW w:w="2727" w:type="dxa"/>
            <w:tcBorders>
              <w:top w:val="nil"/>
              <w:left w:val="nil"/>
              <w:bottom w:val="nil"/>
              <w:right w:val="nil"/>
            </w:tcBorders>
            <w:tcMar>
              <w:top w:w="0" w:type="dxa"/>
              <w:left w:w="108" w:type="dxa"/>
              <w:bottom w:w="0" w:type="dxa"/>
              <w:right w:w="108" w:type="dxa"/>
            </w:tcMar>
          </w:tcPr>
          <w:p w14:paraId="495207F0" w14:textId="77777777" w:rsidR="00903A67" w:rsidRDefault="00903A67" w:rsidP="006E6D05">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n1≥</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n . N</m:t>
                    </m:r>
                  </m:num>
                  <m:den>
                    <m:r>
                      <w:rPr>
                        <w:rFonts w:ascii="Cambria Math" w:eastAsia="Cambria Math" w:hAnsi="Cambria Math" w:cs="Cambria Math"/>
                        <w:color w:val="000000"/>
                        <w:sz w:val="28"/>
                        <w:szCs w:val="28"/>
                      </w:rPr>
                      <m:t>n+N</m:t>
                    </m:r>
                  </m:den>
                </m:f>
              </m:oMath>
            </m:oMathPara>
          </w:p>
          <w:p w14:paraId="6B074BB1" w14:textId="4104D06E" w:rsidR="00903A67" w:rsidRDefault="00903A67" w:rsidP="006E6D05">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n1=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13*14</m:t>
                    </m:r>
                  </m:num>
                  <m:den>
                    <m:r>
                      <w:rPr>
                        <w:rFonts w:ascii="Cambria Math" w:eastAsia="Cambria Math" w:hAnsi="Cambria Math" w:cs="Cambria Math"/>
                        <w:color w:val="000000"/>
                        <w:sz w:val="28"/>
                        <w:szCs w:val="28"/>
                      </w:rPr>
                      <m:t>13+14</m:t>
                    </m:r>
                  </m:den>
                </m:f>
                <m:r>
                  <w:rPr>
                    <w:rFonts w:ascii="Cambria Math" w:eastAsia="Cambria Math" w:hAnsi="Cambria Math" w:cs="Cambria Math"/>
                    <w:color w:val="000000"/>
                    <w:sz w:val="28"/>
                    <w:szCs w:val="28"/>
                  </w:rPr>
                  <m:t>=7</m:t>
                </m:r>
              </m:oMath>
            </m:oMathPara>
          </w:p>
        </w:tc>
        <w:tc>
          <w:tcPr>
            <w:tcW w:w="5130" w:type="dxa"/>
            <w:tcBorders>
              <w:top w:val="nil"/>
              <w:left w:val="nil"/>
              <w:bottom w:val="nil"/>
              <w:right w:val="nil"/>
            </w:tcBorders>
            <w:tcMar>
              <w:top w:w="0" w:type="dxa"/>
              <w:left w:w="108" w:type="dxa"/>
              <w:bottom w:w="0" w:type="dxa"/>
              <w:right w:w="108" w:type="dxa"/>
            </w:tcMar>
          </w:tcPr>
          <w:p w14:paraId="11EFA669" w14:textId="77777777" w:rsidR="00903A67" w:rsidRDefault="00903A67" w:rsidP="006E6D05">
            <w:pPr>
              <w:spacing w:before="0" w:after="0"/>
              <w:ind w:right="-8"/>
              <w:jc w:val="left"/>
              <w:rPr>
                <w:rFonts w:ascii="Tahoma" w:eastAsia="Tahoma" w:hAnsi="Tahoma" w:cs="Tahoma"/>
                <w:color w:val="000000"/>
                <w:sz w:val="20"/>
                <w:szCs w:val="20"/>
              </w:rPr>
            </w:pPr>
            <w:r>
              <w:rPr>
                <w:rFonts w:ascii="Tahoma" w:eastAsia="Tahoma" w:hAnsi="Tahoma" w:cs="Tahoma"/>
                <w:color w:val="000000"/>
                <w:sz w:val="18"/>
                <w:szCs w:val="18"/>
              </w:rPr>
              <w:t>Donde, n1 es el nuevo tamaño de la muestra, N es el tamaño de la población; n es el tamaño previo de la muestra.</w:t>
            </w:r>
          </w:p>
        </w:tc>
      </w:tr>
    </w:tbl>
    <w:p w14:paraId="6EF1AD10" w14:textId="77777777" w:rsidR="00960258" w:rsidRPr="00652C9B" w:rsidRDefault="00960258" w:rsidP="00490B10">
      <w:pPr>
        <w:spacing w:before="240" w:after="240" w:line="240" w:lineRule="auto"/>
        <w:jc w:val="both"/>
        <w:rPr>
          <w:rFonts w:ascii="Arial" w:eastAsia="Tahoma" w:hAnsi="Arial" w:cs="Arial"/>
          <w:color w:val="000000"/>
        </w:rPr>
      </w:pPr>
    </w:p>
    <w:p w14:paraId="6EF1AD16" w14:textId="4629E83A"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1F1559">
        <w:rPr>
          <w:rFonts w:ascii="Arial" w:eastAsia="Tahoma" w:hAnsi="Arial" w:cs="Arial"/>
          <w:b/>
          <w:color w:val="000000"/>
        </w:rPr>
        <w:t>1</w:t>
      </w:r>
      <w:r w:rsidR="00490B10">
        <w:rPr>
          <w:rFonts w:ascii="Arial" w:eastAsia="Tahoma" w:hAnsi="Arial" w:cs="Arial"/>
          <w:b/>
          <w:color w:val="000000"/>
        </w:rPr>
        <w:t>0</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fldSimple w:instr=" SEQ Tabla \* ARABIC ">
        <w:r w:rsidR="005D60C3">
          <w:rPr>
            <w:noProof/>
          </w:rPr>
          <w:t>1</w:t>
        </w:r>
      </w:fldSimple>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10 maestrantes, con una marcada predominancia femenina (100,00%) frente a un 0,00% de hombres. El 50,00% son solteros y los rangos de edad predominantes se sitúan entre los 26 y 35 años (60,00%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fldSimple w:instr=" SEQ Tabla \* ARABIC ">
        <w:r w:rsidR="005D60C3">
          <w:rPr>
            <w:noProof/>
          </w:rPr>
          <w:t>2</w:t>
        </w:r>
      </w:fldSimple>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10</w:t>
            </w:r>
          </w:p>
        </w:tc>
        <w:tc>
          <w:tcPr>
            <w:tcW w:w="945" w:type="pct"/>
            <w:noWrap/>
            <w:hideMark/>
          </w:tcPr>
          <w:p>
            <w:pPr>
              <w:spacing w:before="0" w:after="0"/>
              <w:jc w:val="center"/>
            </w:pPr>
            <w:r>
              <w:t>100,00%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5</w:t>
            </w:r>
          </w:p>
        </w:tc>
        <w:tc>
          <w:tcPr>
            <w:tcW w:w="945" w:type="pct"/>
            <w:noWrap/>
            <w:hideMark/>
          </w:tcPr>
          <w:p>
            <w:pPr>
              <w:spacing w:before="0" w:after="0"/>
              <w:jc w:val="center"/>
            </w:pPr>
            <w:r>
              <w:t>50,00%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4</w:t>
            </w:r>
          </w:p>
        </w:tc>
        <w:tc>
          <w:tcPr>
            <w:tcW w:w="945" w:type="pct"/>
            <w:noWrap/>
            <w:hideMark/>
          </w:tcPr>
          <w:p>
            <w:pPr>
              <w:spacing w:before="0" w:after="0"/>
              <w:jc w:val="center"/>
            </w:pPr>
            <w:r>
              <w:t>40,00%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10,00%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1</w:t>
            </w:r>
          </w:p>
        </w:tc>
        <w:tc>
          <w:tcPr>
            <w:tcW w:w="945" w:type="pct"/>
            <w:noWrap/>
            <w:hideMark/>
          </w:tcPr>
          <w:p>
            <w:pPr>
              <w:spacing w:before="0" w:after="0"/>
              <w:jc w:val="center"/>
            </w:pPr>
            <w:r>
              <w:t>10,00%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5</w:t>
            </w:r>
          </w:p>
        </w:tc>
        <w:tc>
          <w:tcPr>
            <w:tcW w:w="945" w:type="pct"/>
            <w:noWrap/>
            <w:hideMark/>
          </w:tcPr>
          <w:p>
            <w:pPr>
              <w:spacing w:before="0" w:after="0"/>
              <w:jc w:val="center"/>
            </w:pPr>
            <w:r>
              <w:t>50,00%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1</w:t>
            </w:r>
          </w:p>
        </w:tc>
        <w:tc>
          <w:tcPr>
            <w:tcW w:w="945" w:type="pct"/>
            <w:noWrap/>
            <w:hideMark/>
          </w:tcPr>
          <w:p>
            <w:pPr>
              <w:spacing w:before="0" w:after="0"/>
              <w:jc w:val="center"/>
            </w:pPr>
            <w:r>
              <w:t>10,00%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2</w:t>
            </w:r>
          </w:p>
        </w:tc>
        <w:tc>
          <w:tcPr>
            <w:tcW w:w="945" w:type="pct"/>
            <w:noWrap/>
            <w:hideMark/>
          </w:tcPr>
          <w:p>
            <w:pPr>
              <w:spacing w:before="0" w:after="0"/>
              <w:jc w:val="center"/>
            </w:pPr>
            <w:r>
              <w:t>20,00%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1</w:t>
            </w:r>
          </w:p>
        </w:tc>
        <w:tc>
          <w:tcPr>
            <w:tcW w:w="945" w:type="pct"/>
            <w:noWrap/>
            <w:hideMark/>
          </w:tcPr>
          <w:p>
            <w:pPr>
              <w:spacing w:before="0" w:after="0"/>
              <w:jc w:val="center"/>
            </w:pPr>
            <w:r>
              <w:t>10,00%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77CF0272" w14:textId="77777777" w:rsidR="008955E9" w:rsidRPr="008955E9" w:rsidRDefault="008955E9" w:rsidP="008955E9">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8955E9">
        <w:rPr>
          <w:rFonts w:ascii="Arial" w:eastAsia="Tahoma" w:hAnsi="Arial" w:cs="Arial"/>
          <w:color w:val="000000"/>
        </w:rPr>
        <w:t xml:space="preserve">Ejecuta los fundamentos teóricos, epistemológicos, metodológicos y estratégicos de la Educación Inicial, basados en el manejo de la genética y desarrollo evolutivo de los niños de 0 a 5 años, con la inserción de experiencias de aprendizaje que fortalezcan la adquisición de destrezas en la formación infantil, respetando sus individualidades. </w:t>
      </w:r>
    </w:p>
    <w:p w14:paraId="5B9DC7AC" w14:textId="77777777" w:rsidR="008955E9" w:rsidRPr="008955E9" w:rsidRDefault="008955E9" w:rsidP="008955E9">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8955E9">
        <w:rPr>
          <w:rFonts w:ascii="Arial" w:eastAsia="Tahoma" w:hAnsi="Arial" w:cs="Arial"/>
          <w:color w:val="000000"/>
        </w:rPr>
        <w:t>Aplica los fundamentos teóricos, epistemológicos, metodológicos y estratégicos del currículo de Educación Inicial y preparatoria, la inclusión de la diversidad en la organización de los aprendizajes, involucrando a la comunidad educativa en el desarrollo de la personalidad del niño, así como a la identificación y solución de problemas cognitivos, afectivos y motores, para potenciar el desarrollo integral de niños de 0 a 5 años.</w:t>
      </w:r>
    </w:p>
    <w:p w14:paraId="472CF174" w14:textId="1AC13D64" w:rsidR="005B316A" w:rsidRPr="005B316A" w:rsidRDefault="008955E9" w:rsidP="008955E9">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8955E9">
        <w:rPr>
          <w:rFonts w:ascii="Arial" w:eastAsia="Tahoma" w:hAnsi="Arial" w:cs="Arial"/>
          <w:color w:val="000000"/>
        </w:rPr>
        <w:t>Además, te ofrecemos un curso gratuito sobre "DESARROLLO INTEGRAL: ESTIMULACIÓN PARA BEBÉS DE ALTO RIESGO" con una duración de 80 horas, con el que podrás especializarte en herramientas prácticas y conocimientos avanzados para la intervención temprana en bebés con factores de riesgo, potenciando su desarrollo neurológico, motor, cognitivo y socioemocional</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70,00% de los maestrantes (7 personas) evidencia interés en formarse y actualizarse profesionalmente, mientras que el 30,00% restante (3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fldSimple w:instr=" SEQ Tabla \* ARABIC ">
        <w:r w:rsidR="005D60C3">
          <w:rPr>
            <w:noProof/>
          </w:rPr>
          <w:t>3</w:t>
        </w:r>
      </w:fldSimple>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50,00%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Estimulación Temprana</w:t>
      </w:r>
    </w:p>
    <w:p>
      <w:pPr>
        <w:spacing w:after="40" w:before="40"/>
        <w:ind w:left="360"/>
      </w:pPr>
      <w:r>
        <w:rPr>
          <w:rFonts w:ascii="Calibri" w:hAnsi="Calibri"/>
          <w:sz w:val="22"/>
        </w:rPr>
        <w:t>• Estimulación de lenguaje</w:t>
      </w:r>
    </w:p>
    <w:p>
      <w:pPr>
        <w:spacing w:after="40" w:before="40"/>
        <w:ind w:left="360"/>
      </w:pPr>
      <w:r>
        <w:rPr>
          <w:rFonts w:ascii="Calibri" w:hAnsi="Calibri"/>
          <w:sz w:val="22"/>
        </w:rPr>
        <w:t>• Educación superior o psicopedagogía. Neuro educación</w:t>
      </w:r>
    </w:p>
    <w:p>
      <w:pPr>
        <w:spacing w:after="40" w:before="40"/>
        <w:ind w:left="360"/>
      </w:pPr>
      <w:r>
        <w:rPr>
          <w:rFonts w:ascii="Calibri" w:hAnsi="Calibri"/>
          <w:sz w:val="22"/>
        </w:rPr>
        <w:t>• Nuevas metodologías de enseñanza aprendizaje basado en proyectos, aula invertida</w:t>
      </w:r>
    </w:p>
    <w:p>
      <w:pPr>
        <w:spacing w:after="40" w:before="40"/>
        <w:ind w:left="360"/>
      </w:pPr>
      <w:r>
        <w:rPr>
          <w:rFonts w:ascii="Calibri" w:hAnsi="Calibri"/>
          <w:sz w:val="22"/>
        </w:rPr>
        <w:t>• Me gustaría recibir capacitaciones en psicología infantil, especialmente en detección temprana de trastornos del desarrollo y aprendizaje, manejo emocional y conductual en niños, y estrategias de intervención y apoyo a las familias.</w:t>
      </w:r>
    </w:p>
    <w:p>
      <w:pPr>
        <w:spacing w:after="40" w:before="40"/>
        <w:ind w:left="360"/>
      </w:pPr>
      <w:r>
        <w:rPr>
          <w:rFonts w:ascii="Calibri" w:hAnsi="Calibri"/>
          <w:sz w:val="22"/>
        </w:rPr>
        <w:t>• Doctorado en nivel inicial. maestra sombra. estimulacion temprana</w:t>
      </w:r>
    </w:p>
    <w:p>
      <w:pPr>
        <w:spacing w:after="40" w:before="40"/>
        <w:ind w:left="360"/>
      </w:pPr>
      <w:r>
        <w:rPr>
          <w:rFonts w:ascii="Calibri" w:hAnsi="Calibri"/>
          <w:sz w:val="22"/>
        </w:rPr>
        <w:t>• Inclusión educativa</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Cuando llegan a mi centro a dejar carpetas no saben presentarse, no controlan los nervios para pedir que se les considere para algún puesto</w:t>
      </w:r>
    </w:p>
    <w:p>
      <w:pPr>
        <w:spacing w:after="40" w:before="40"/>
        <w:ind w:left="360"/>
      </w:pPr>
      <w:r>
        <w:rPr>
          <w:rFonts w:ascii="Calibri" w:hAnsi="Calibri"/>
          <w:sz w:val="22"/>
        </w:rPr>
        <w:t>• No saben cambiar pañales ni sobre la alimentación, en especial de la leche de formula, no saben de la alimentación complementaria, ni de los brotes de crecimiento</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lastRenderedPageBreak/>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No se reportó la pertenencia de los graduados a redes de conocimiento específicas en la cohorte analizada.</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76C2B27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46581A">
        <w:rPr>
          <w:rFonts w:ascii="Arial" w:eastAsia="Tahoma" w:hAnsi="Arial" w:cs="Arial"/>
          <w:color w:val="000000"/>
        </w:rPr>
        <w:t>Maestría en Educación Inicial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fldSimple w:instr=" SEQ Tabla \* ARABIC ">
        <w:r w:rsidR="005D60C3">
          <w:rPr>
            <w:noProof/>
          </w:rPr>
          <w:t>4</w:t>
        </w:r>
      </w:fldSimple>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55,56% de los empleadores califica al graduado como Muy Bueno, y el 44,44% como Bueno. Adicionalmente, el comportamiento ético y el compromiso institucional se destacan con un 66,67% y 55,56%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fldSimple w:instr=" SEQ Tabla \* ARABIC ">
        <w:r w:rsidR="005D60C3">
          <w:rPr>
            <w:noProof/>
          </w:rPr>
          <w:t>5</w:t>
        </w:r>
      </w:fldSimple>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55,56%</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44,44%</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55,56%</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44,44%</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55,56%</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44,44%</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11,11%</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33,33%</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55,56%</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55,56%</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44,44%</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11,11%</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55,56%</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44,44%</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fldSimple w:instr=" SEQ Tabla \* ARABIC ">
        <w:r w:rsidR="005D60C3">
          <w:rPr>
            <w:noProof/>
          </w:rPr>
          <w:t>6</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40,00%</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Propietario</w:t>
      </w:r>
    </w:p>
    <w:p>
      <w:pPr>
        <w:spacing w:after="40" w:before="40"/>
        <w:ind w:left="360"/>
      </w:pPr>
      <w:r>
        <w:rPr>
          <w:rFonts w:ascii="Calibri" w:hAnsi="Calibri"/>
          <w:sz w:val="22"/>
        </w:rPr>
        <w:t>• Geologo Junior</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Funciones de médica Veterinaria Consultas y Chequeos Vacunas, desparasitaciones Cirugías</w:t>
      </w:r>
    </w:p>
    <w:p>
      <w:pPr>
        <w:spacing w:after="40" w:before="40"/>
        <w:ind w:left="360"/>
      </w:pPr>
      <w:r>
        <w:rPr>
          <w:rFonts w:ascii="Calibri" w:hAnsi="Calibri"/>
          <w:sz w:val="22"/>
        </w:rPr>
        <w:t>• Exploracion interior mina Brownfield</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fldSimple w:instr=" SEQ Tabla \* ARABIC ">
        <w:r w:rsidR="005D60C3">
          <w:rPr>
            <w:noProof/>
          </w:rPr>
          <w:t>7</w:t>
        </w:r>
      </w:fldSimple>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Falta de experiencia</w:t>
      </w:r>
    </w:p>
    <w:p>
      <w:pPr>
        <w:spacing w:after="40" w:before="40"/>
        <w:ind w:left="360"/>
      </w:pPr>
      <w:r>
        <w:rPr>
          <w:rFonts w:ascii="Calibri" w:hAnsi="Calibri"/>
          <w:sz w:val="22"/>
        </w:rPr>
        <w:t>• No se abre vacantes para nivel inicial</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fldSimple w:instr=" SEQ Tabla \* ARABIC ">
        <w:r w:rsidR="005D60C3">
          <w:rPr>
            <w:noProof/>
          </w:rPr>
          <w:t>8</w:t>
        </w:r>
      </w:fldSimple>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fldSimple w:instr=" SEQ Tabla \* ARABIC ">
        <w:r>
          <w:rPr>
            <w:noProof/>
          </w:rPr>
          <w:t>9</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40,00%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"CDI. La casa de las Oruguitas",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fldSimple w:instr=" SEQ Tabla \* ARABIC ">
        <w:r>
          <w:rPr>
            <w:noProof/>
          </w:rPr>
          <w:t>10</w:t>
        </w:r>
      </w:fldSimple>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20,00%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Senescy beca de inglés</w:t>
      </w:r>
    </w:p>
    <w:p>
      <w:pPr>
        <w:spacing w:after="40" w:before="40"/>
        <w:ind w:left="360"/>
      </w:pPr>
      <w:r>
        <w:rPr>
          <w:rFonts w:ascii="Calibri" w:hAnsi="Calibri"/>
          <w:sz w:val="22"/>
        </w:rPr>
        <w:t>• Unl</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Mineduc</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No se registraron datos sobre el apoyo institucional recibido por los maestrantes para sus estudios de posgrado en la cohorte analizada.</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Cuando llegan a mi centro a dejar carpetas no saben presentarse, no controlan los nervios para pedir que se les considere para algún puesto</w:t>
      </w:r>
    </w:p>
    <w:p>
      <w:pPr>
        <w:spacing w:after="40" w:before="40"/>
        <w:ind w:left="360"/>
      </w:pPr>
      <w:r>
        <w:rPr>
          <w:rFonts w:ascii="Calibri" w:hAnsi="Calibri"/>
          <w:sz w:val="22"/>
        </w:rPr>
        <w:t>• No saben cambiar pañales ni sobre la alimentación, en especial de la leche de formula, no saben de la alimentación complementaria, ni de los brotes de crecimiento</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ACADÉMICA CON TRAYECTORIA PROFESIONAL: EDUCACIÓN INICIAL - en linea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fldSimple w:instr=" SEQ Tabla \* ARABIC ">
        <w:r>
          <w:rPr>
            <w:noProof/>
          </w:rPr>
          <w:t>11</w:t>
        </w:r>
      </w:fldSimple>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10,00%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80,00%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Los 9 empleadores consultados no registraron información cuantificable sobre la percepción de la demanda de profesionales de la carrera en la encuesta aplicada.</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mujeres (100,00%), en su mayoría solteros (50,00%), de entre 26 y 35 años (60,00%),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70,00% de los maestrantes expresa interés en actualizarse profesionalmente, destacando una preferencia marcada por programas de Doctorado (50,00%).</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(40,00%), seguido del sector privado (10,00%),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10,00%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0,00% de los maestrantes la considera efectiva, frente al 50,00%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3D36B2">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287BDE8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Educación </w:t>
                          </w:r>
                          <w:r w:rsidR="0046581A">
                            <w:rPr>
                              <w:rFonts w:ascii="Century Gothic" w:eastAsia="Century Gothic" w:hAnsi="Century Gothic" w:cs="Century Gothic"/>
                              <w:b/>
                              <w:color w:val="000000"/>
                              <w:sz w:val="20"/>
                            </w:rPr>
                            <w:t>Inicial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287BDE8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Educación </w:t>
                    </w:r>
                    <w:r w:rsidR="0046581A">
                      <w:rPr>
                        <w:rFonts w:ascii="Century Gothic" w:eastAsia="Century Gothic" w:hAnsi="Century Gothic" w:cs="Century Gothic"/>
                        <w:b/>
                        <w:color w:val="000000"/>
                        <w:sz w:val="20"/>
                      </w:rPr>
                      <w:t>Inicial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44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D36B2"/>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4449"/>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8DF8AF-E19F-47D6-B75D-B5E6A70D2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2587</TotalTime>
  <Pages>30</Pages>
  <Words>7851</Words>
  <Characters>43181</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341</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