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D532DD1"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82163">
        <w:rPr>
          <w:rFonts w:ascii="Arial" w:eastAsia="Tahoma" w:hAnsi="Arial" w:cs="Arial"/>
          <w:b/>
          <w:color w:val="000000"/>
        </w:rPr>
        <w:t>EN</w:t>
      </w:r>
      <w:r w:rsidR="00182163" w:rsidRPr="00182163">
        <w:rPr>
          <w:rFonts w:ascii="Arial" w:eastAsia="Tahoma" w:hAnsi="Arial" w:cs="Arial"/>
          <w:b/>
          <w:color w:val="000000"/>
        </w:rPr>
        <w:t xml:space="preserve"> EDUCACIÓN MENCIÓN EN ENSEÑANZA DE LA LENGUA Y LITERATURA</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12E362CC"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00230610" w:rsidRPr="00230610">
        <w:rPr>
          <w:rFonts w:ascii="Tahoma" w:eastAsia="Tahoma" w:hAnsi="Tahoma" w:cs="Tahoma"/>
          <w:color w:val="000000"/>
        </w:rPr>
        <w:t>Lenin Paladines Paredes</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167930">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25CB27A5"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 xml:space="preserve">MAESTRÍA EN </w:t>
            </w:r>
            <w:r w:rsidR="00182163" w:rsidRPr="00182163">
              <w:rPr>
                <w:rFonts w:ascii="Arial" w:eastAsia="Tahoma" w:hAnsi="Arial" w:cs="Arial"/>
                <w:b/>
                <w:color w:val="000000"/>
              </w:rPr>
              <w:t>EDUCACIÓN MENCIÓN EN ENSEÑANZA DE LA LENGUA Y LITERATURA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8</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4173DBDA" w:rsidR="00960258" w:rsidRPr="00652C9B" w:rsidRDefault="00167930"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167930">
              <w:rPr>
                <w:rFonts w:ascii="Arial" w:eastAsia="Tahoma" w:hAnsi="Arial" w:cs="Arial"/>
                <w:color w:val="000000"/>
              </w:rPr>
              <w:t>Mgtr. Lenin Paladines Paredes.</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CBBFA05"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182163">
        <w:rPr>
          <w:rFonts w:ascii="Arial" w:eastAsia="Tahoma" w:hAnsi="Arial" w:cs="Arial"/>
          <w:color w:val="000000"/>
        </w:rPr>
        <w:t>Maestría en Educación mención en Enseñanza de la Lengua y Literatura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4B65009E"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D144697" w:rsidR="00960258" w:rsidRPr="00652C9B" w:rsidRDefault="00106FA5">
      <w:pPr>
        <w:spacing w:before="240" w:after="240" w:line="240" w:lineRule="auto"/>
        <w:ind w:firstLine="360"/>
        <w:jc w:val="both"/>
        <w:rPr>
          <w:rFonts w:ascii="Arial" w:eastAsia="Tahoma" w:hAnsi="Arial" w:cs="Arial"/>
          <w:color w:val="000000"/>
        </w:rPr>
      </w:pPr>
      <w:r>
        <w:rPr/>
        <w:t>La muestra para la Maestría en Educación mención en Enseñanza de la Lengua y Literatura, fue de 20,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A56A34B"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0,5*0,5*22</m:t>
                  </m:r>
                </m:num>
                <m:den>
                  <m:d>
                    <m:dPr>
                      <m:ctrlPr>
                        <w:rPr>
                          <w:rFonts w:ascii="Cambria Math" w:eastAsia="Cambria Math" w:hAnsi="Cambria Math" w:cs="Arial"/>
                        </w:rPr>
                      </m:ctrlPr>
                    </m:dPr>
                    <m:e>
                      <m:r>
                        <w:rPr>
                          <w:rFonts w:ascii="Cambria Math" w:eastAsia="Cambria Math" w:hAnsi="Cambria Math" w:cs="Arial"/>
                        </w:rPr>
                        <m:t>22-1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6B02641C"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82163">
              <w:rPr>
                <w:rFonts w:ascii="Arial" w:eastAsia="Arial" w:hAnsi="Arial" w:cs="Arial"/>
              </w:rPr>
              <w:t>20</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60671A9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82163">
        <w:rPr>
          <w:rFonts w:ascii="Arial" w:eastAsia="Tahoma" w:hAnsi="Arial" w:cs="Arial"/>
          <w:b/>
          <w:color w:val="000000"/>
        </w:rPr>
        <w:t>2</w:t>
      </w:r>
      <w:r w:rsidR="00490B10">
        <w:rPr>
          <w:rFonts w:ascii="Arial" w:eastAsia="Tahoma" w:hAnsi="Arial" w:cs="Arial"/>
          <w:b/>
          <w:color w:val="000000"/>
        </w:rPr>
        <w:t>0</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167930">
        <w:rPr/>
        <w:fldChar w:fldCharType="begin"/>
      </w:r>
      <w:r w:rsidR="00167930">
        <w:rPr/>
        <w:instrText xml:space="preserve"> SEQ Tabla \* ARABIC </w:instrText>
      </w:r>
      <w:r w:rsidR="00167930">
        <w:rPr/>
        <w:fldChar w:fldCharType="separate"/>
      </w:r>
      <w:r w:rsidR="005D60C3">
        <w:rPr>
          <w:noProof/>
        </w:rPr>
        <w:t>1</w:t>
      </w:r>
      <w:r w:rsidR="00167930">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20 maestrantes, con una marcada predominancia femenina (75,00%) frente a un 25,00% de hombres. El 50,00% son solteros y los rangos de edad predominantes se sitúan entre los 26 y 35 años (55,00%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167930">
        <w:rPr/>
        <w:fldChar w:fldCharType="begin"/>
      </w:r>
      <w:r w:rsidR="00167930">
        <w:rPr/>
        <w:instrText xml:space="preserve"> SEQ Tabla \* ARABIC </w:instrText>
      </w:r>
      <w:r w:rsidR="00167930">
        <w:rPr/>
        <w:fldChar w:fldCharType="separate"/>
      </w:r>
      <w:r w:rsidR="005D60C3">
        <w:rPr>
          <w:noProof/>
        </w:rPr>
        <w:t>2</w:t>
      </w:r>
      <w:r w:rsidR="00167930">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15</w:t>
            </w:r>
          </w:p>
        </w:tc>
        <w:tc>
          <w:tcPr>
            <w:tcW w:w="945" w:type="pct"/>
            <w:noWrap/>
            <w:hideMark/>
          </w:tcPr>
          <w:p>
            <w:pPr>
              <w:spacing w:before="0" w:after="0"/>
              <w:jc w:val="center"/>
            </w:pPr>
            <w:r>
              <w:t>75,00%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10</w:t>
            </w:r>
          </w:p>
        </w:tc>
        <w:tc>
          <w:tcPr>
            <w:tcW w:w="945" w:type="pct"/>
            <w:noWrap/>
            <w:hideMark/>
          </w:tcPr>
          <w:p>
            <w:pPr>
              <w:spacing w:before="0" w:after="0"/>
              <w:jc w:val="center"/>
            </w:pPr>
            <w:r>
              <w:t>50,00%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8</w:t>
            </w:r>
          </w:p>
        </w:tc>
        <w:tc>
          <w:tcPr>
            <w:tcW w:w="945" w:type="pct"/>
            <w:noWrap/>
            <w:hideMark/>
          </w:tcPr>
          <w:p>
            <w:pPr>
              <w:spacing w:before="0" w:after="0"/>
              <w:jc w:val="center"/>
            </w:pPr>
            <w:r>
              <w:t>40,00%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7</w:t>
            </w:r>
          </w:p>
        </w:tc>
        <w:tc>
          <w:tcPr>
            <w:tcW w:w="945" w:type="pct"/>
            <w:noWrap/>
            <w:hideMark/>
          </w:tcPr>
          <w:p>
            <w:pPr>
              <w:spacing w:before="0" w:after="0"/>
              <w:jc w:val="center"/>
            </w:pPr>
            <w:r>
              <w:t>35,00%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20,00%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10,00%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1</w:t>
            </w:r>
          </w:p>
        </w:tc>
        <w:tc>
          <w:tcPr>
            <w:tcW w:w="945" w:type="pct"/>
            <w:noWrap/>
            <w:hideMark/>
          </w:tcPr>
          <w:p>
            <w:pPr>
              <w:spacing w:before="0" w:after="0"/>
              <w:jc w:val="center"/>
            </w:pPr>
            <w:r>
              <w:t>5,00%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472CF174" w14:textId="17351A28" w:rsidR="005B316A" w:rsidRPr="00C91727" w:rsidRDefault="00C91727" w:rsidP="00C91727">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C91727">
        <w:rPr>
          <w:rFonts w:ascii="Arial" w:hAnsi="Arial" w:cs="Arial"/>
          <w:color w:val="343434"/>
          <w:sz w:val="21"/>
          <w:szCs w:val="21"/>
        </w:rPr>
        <w:t xml:space="preserve">Los </w:t>
      </w:r>
      <w:proofErr w:type="spellStart"/>
      <w:r w:rsidRPr="00C91727">
        <w:rPr>
          <w:rFonts w:ascii="Arial" w:hAnsi="Arial" w:cs="Arial"/>
          <w:color w:val="343434"/>
          <w:sz w:val="21"/>
          <w:szCs w:val="21"/>
        </w:rPr>
        <w:t>posgradistas</w:t>
      </w:r>
      <w:proofErr w:type="spellEnd"/>
      <w:r w:rsidRPr="00C91727">
        <w:rPr>
          <w:rFonts w:ascii="Arial" w:hAnsi="Arial" w:cs="Arial"/>
          <w:color w:val="343434"/>
          <w:sz w:val="21"/>
          <w:szCs w:val="21"/>
        </w:rPr>
        <w:t xml:space="preserve"> de la maestría en Educación con mención en enseñanza de la Lengua y la literatura se podrán desempeñar en el ejercicio de la docencia en todos los niveles educativos, integrando recursos educativos digitales, así participando o asesorando sobre procesos de investigación relacionados con el ámbito de la enseñanza de la Lengua y la </w:t>
      </w:r>
      <w:proofErr w:type="gramStart"/>
      <w:r w:rsidRPr="00C91727">
        <w:rPr>
          <w:rFonts w:ascii="Arial" w:hAnsi="Arial" w:cs="Arial"/>
          <w:color w:val="343434"/>
          <w:sz w:val="21"/>
          <w:szCs w:val="21"/>
        </w:rPr>
        <w:t>Literatura.</w:t>
      </w:r>
      <w:r w:rsidR="005B316A" w:rsidRPr="00C91727">
        <w:rPr>
          <w:rFonts w:ascii="Arial" w:eastAsia="Tahoma" w:hAnsi="Arial" w:cs="Arial"/>
          <w:color w:val="000000"/>
        </w:rPr>
        <w:t>.</w:t>
      </w:r>
      <w:proofErr w:type="gramEnd"/>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80,00% de los maestrantes (16 personas) evidencia interés en formarse y actualizarse profesionalmente, mientras que el 20,00% restante (4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3</w:t>
      </w:r>
      <w:r w:rsidR="00167930">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45,00%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15,00%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35,00%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15,00%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De Comunicación y creación de contenido como tambien de marketing, igualmente de docencia</w:t>
      </w:r>
    </w:p>
    <w:p>
      <w:pPr>
        <w:spacing w:after="40" w:before="40"/>
        <w:ind w:left="360"/>
      </w:pPr>
      <w:r>
        <w:rPr>
          <w:rFonts w:ascii="Calibri" w:hAnsi="Calibri"/>
          <w:sz w:val="22"/>
        </w:rPr>
        <w:t>• Oportunidad laboral es y redes de trabajo para poder conseguir empleo. Creación de un buen CV</w:t>
      </w:r>
    </w:p>
    <w:p>
      <w:pPr>
        <w:spacing w:after="40" w:before="40"/>
        <w:ind w:left="360"/>
      </w:pPr>
      <w:r>
        <w:rPr>
          <w:rFonts w:ascii="Calibri" w:hAnsi="Calibri"/>
          <w:sz w:val="22"/>
        </w:rPr>
        <w:t>• Lengua y Literatura, Teoría literaria</w:t>
      </w:r>
    </w:p>
    <w:p>
      <w:pPr>
        <w:spacing w:after="40" w:before="40"/>
        <w:ind w:left="360"/>
      </w:pPr>
      <w:r>
        <w:rPr>
          <w:rFonts w:ascii="Calibri" w:hAnsi="Calibri"/>
          <w:sz w:val="22"/>
        </w:rPr>
        <w:t>• Pedagogía- Planificación educativa- Estrategias didácticas- Gestión del aula- Tecnología educativa</w:t>
      </w:r>
    </w:p>
    <w:p>
      <w:pPr>
        <w:spacing w:after="40" w:before="40"/>
        <w:ind w:left="360"/>
      </w:pPr>
      <w:r>
        <w:rPr>
          <w:rFonts w:ascii="Calibri" w:hAnsi="Calibri"/>
          <w:sz w:val="22"/>
        </w:rPr>
        <w:t>• Uso de plataformas digitales</w:t>
      </w:r>
    </w:p>
    <w:p>
      <w:pPr>
        <w:spacing w:after="40" w:before="40"/>
        <w:ind w:left="360"/>
      </w:pPr>
      <w:r>
        <w:rPr>
          <w:rFonts w:ascii="Calibri" w:hAnsi="Calibri"/>
          <w:sz w:val="22"/>
        </w:rPr>
        <w:t>• Doctor en pedagogía o maestría. Que sea muy general</w:t>
      </w:r>
    </w:p>
    <w:p>
      <w:pPr>
        <w:spacing w:after="40" w:before="40"/>
        <w:ind w:left="360"/>
      </w:pPr>
      <w:r>
        <w:rPr>
          <w:rFonts w:ascii="Calibri" w:hAnsi="Calibri"/>
          <w:sz w:val="22"/>
        </w:rPr>
        <w:t>• Educación</w:t>
      </w:r>
    </w:p>
    <w:p>
      <w:pPr>
        <w:spacing w:after="40" w:before="40"/>
        <w:ind w:left="360"/>
      </w:pPr>
      <w:r>
        <w:rPr>
          <w:rFonts w:ascii="Calibri" w:hAnsi="Calibri"/>
          <w:sz w:val="22"/>
        </w:rPr>
        <w:t>• Metodologías activas</w:t>
      </w:r>
    </w:p>
    <w:p>
      <w:pPr>
        <w:spacing w:after="40" w:before="40"/>
        <w:ind w:left="360"/>
      </w:pPr>
      <w:r>
        <w:rPr>
          <w:rFonts w:ascii="Calibri" w:hAnsi="Calibri"/>
          <w:sz w:val="22"/>
        </w:rPr>
        <w:t>• Innovación tecnológica</w:t>
      </w:r>
    </w:p>
    <w:p>
      <w:pPr>
        <w:spacing w:after="40" w:before="40"/>
        <w:ind w:left="360"/>
      </w:pPr>
      <w:r>
        <w:rPr>
          <w:rFonts w:ascii="Calibri" w:hAnsi="Calibri"/>
          <w:sz w:val="22"/>
        </w:rPr>
        <w:t>• En neuroeducación o psicopedagogía</w:t>
      </w:r>
    </w:p>
    <w:p>
      <w:pPr>
        <w:spacing w:after="40" w:before="40"/>
        <w:ind w:left="360"/>
      </w:pPr>
      <w:r>
        <w:rPr>
          <w:rFonts w:ascii="Calibri" w:hAnsi="Calibri"/>
          <w:sz w:val="22"/>
        </w:rPr>
        <w:t>• Didacticas y estrategias de la enseñanza de la lengua</w:t>
      </w:r>
    </w:p>
    <w:p>
      <w:pPr>
        <w:spacing w:after="40" w:before="40"/>
        <w:ind w:left="360"/>
      </w:pPr>
      <w:r>
        <w:rPr>
          <w:rFonts w:ascii="Calibri" w:hAnsi="Calibri"/>
          <w:sz w:val="22"/>
        </w:rPr>
        <w:t>• Curso formativos en conocimientos específicos del área de Lengua y Literatura</w:t>
      </w:r>
    </w:p>
    <w:p>
      <w:pPr>
        <w:spacing w:after="40" w:before="40"/>
        <w:ind w:left="360"/>
      </w:pPr>
      <w:r>
        <w:rPr>
          <w:rFonts w:ascii="Calibri" w:hAnsi="Calibri"/>
          <w:sz w:val="22"/>
        </w:rPr>
        <w:t>• Gestión pública</w:t>
      </w:r>
    </w:p>
    <w:p>
      <w:pPr>
        <w:spacing w:after="40" w:before="40"/>
        <w:ind w:left="360"/>
      </w:pPr>
      <w:r>
        <w:rPr>
          <w:rFonts w:ascii="Calibri" w:hAnsi="Calibri"/>
          <w:sz w:val="22"/>
        </w:rPr>
        <w:t>• Gestión educativa</w:t>
      </w:r>
    </w:p>
    <w:p>
      <w:pPr>
        <w:spacing w:after="40" w:before="40"/>
        <w:ind w:left="360"/>
      </w:pPr>
      <w:r>
        <w:rPr>
          <w:rFonts w:ascii="Calibri" w:hAnsi="Calibri"/>
          <w:sz w:val="22"/>
        </w:rPr>
        <w:t>• Doctorado</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Habilidades de liderazgo y gestión</w:t>
      </w:r>
    </w:p>
    <w:p>
      <w:pPr>
        <w:spacing w:after="40" w:before="40"/>
        <w:ind w:left="360"/>
      </w:pPr>
      <w:r>
        <w:rPr>
          <w:rFonts w:ascii="Calibri" w:hAnsi="Calibri"/>
          <w:sz w:val="22"/>
        </w:rPr>
        <w:t>• Planificación Curricular</w:t>
      </w:r>
    </w:p>
    <w:p>
      <w:pPr>
        <w:spacing w:after="40" w:before="40"/>
        <w:ind w:left="360"/>
      </w:pPr>
      <w:r>
        <w:rPr>
          <w:rFonts w:ascii="Calibri" w:hAnsi="Calibri"/>
          <w:sz w:val="22"/>
        </w:rPr>
        <w:t>• Gestion educativa</w:t>
      </w:r>
    </w:p>
    <w:p>
      <w:pPr>
        <w:spacing w:after="40" w:before="40"/>
        <w:ind w:left="360"/>
      </w:pPr>
      <w:r>
        <w:rPr>
          <w:rFonts w:ascii="Calibri" w:hAnsi="Calibri"/>
          <w:sz w:val="22"/>
        </w:rPr>
        <w:t>• Práctica</w:t>
      </w:r>
    </w:p>
    <w:p>
      <w:pPr>
        <w:spacing w:after="40" w:before="40"/>
        <w:ind w:left="360"/>
      </w:pPr>
      <w:r>
        <w:rPr>
          <w:rFonts w:ascii="Calibri" w:hAnsi="Calibri"/>
          <w:sz w:val="22"/>
        </w:rPr>
        <w:t>• Planificación curricular</w:t>
      </w:r>
    </w:p>
    <w:p>
      <w:pPr>
        <w:spacing w:after="40" w:before="40"/>
        <w:ind w:left="360"/>
      </w:pPr>
      <w:r>
        <w:rPr>
          <w:rFonts w:ascii="Calibri" w:hAnsi="Calibri"/>
          <w:sz w:val="22"/>
        </w:rPr>
        <w:t>• Desarrollo de TIC</w:t>
      </w:r>
    </w:p>
    <w:p>
      <w:pPr>
        <w:spacing w:after="40" w:before="40"/>
        <w:ind w:left="360"/>
      </w:pPr>
      <w:r>
        <w:rPr>
          <w:rFonts w:ascii="Calibri" w:hAnsi="Calibri"/>
          <w:sz w:val="22"/>
        </w:rPr>
        <w:t>• Tecnologías emergentes</w:t>
      </w:r>
    </w:p>
    <w:p>
      <w:pPr>
        <w:spacing w:after="40" w:before="40"/>
        <w:ind w:left="360"/>
      </w:pPr>
      <w:r>
        <w:rPr>
          <w:rFonts w:ascii="Calibri" w:hAnsi="Calibri"/>
          <w:sz w:val="22"/>
        </w:rPr>
        <w:t>• Tecnología educativa</w:t>
      </w:r>
    </w:p>
    <w:p>
      <w:pPr>
        <w:spacing w:after="40" w:before="40"/>
        <w:ind w:left="360"/>
      </w:pPr>
      <w:r>
        <w:rPr>
          <w:rFonts w:ascii="Calibri" w:hAnsi="Calibri"/>
          <w:sz w:val="22"/>
        </w:rPr>
        <w:t>• Liderazgo</w:t>
      </w:r>
    </w:p>
    <w:p>
      <w:pPr>
        <w:spacing w:after="40" w:before="40"/>
        <w:ind w:left="360"/>
      </w:pPr>
      <w:r>
        <w:rPr>
          <w:rFonts w:ascii="Calibri" w:hAnsi="Calibri"/>
          <w:sz w:val="22"/>
        </w:rPr>
        <w:t>• Adaptaciones curriculares</w:t>
      </w:r>
    </w:p>
    <w:p>
      <w:pPr>
        <w:spacing w:after="40" w:before="40"/>
        <w:ind w:left="360"/>
      </w:pPr>
      <w:r>
        <w:rPr>
          <w:rFonts w:ascii="Calibri" w:hAnsi="Calibri"/>
          <w:sz w:val="22"/>
        </w:rPr>
        <w:t>• Estrategias digitales para la enseñanza</w:t>
      </w:r>
    </w:p>
    <w:p>
      <w:pPr>
        <w:spacing w:after="40" w:before="40"/>
        <w:ind w:left="360"/>
      </w:pPr>
      <w:r>
        <w:rPr>
          <w:rFonts w:ascii="Calibri" w:hAnsi="Calibri"/>
          <w:sz w:val="22"/>
        </w:rPr>
        <w:t>• Evaluaciones</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lastRenderedPageBreak/>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No se reportó la pertenencia de los graduados a redes de conocimiento específicas en la cohorte analizada.</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25D03D41"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182163">
        <w:rPr>
          <w:rFonts w:ascii="Arial" w:eastAsia="Tahoma" w:hAnsi="Arial" w:cs="Arial"/>
          <w:color w:val="000000"/>
        </w:rPr>
        <w:t>Maestría en Educación mención en Enseñanza de la Lengua y Literatura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lastRenderedPageBreak/>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4</w:t>
      </w:r>
      <w:r w:rsidR="00167930">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lastRenderedPageBreak/>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5</w:t>
      </w:r>
      <w:r w:rsidR="00167930">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6</w:t>
      </w:r>
      <w:r w:rsidR="00167930">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80,00%</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Docente</w:t>
      </w:r>
    </w:p>
    <w:p>
      <w:pPr>
        <w:spacing w:after="40" w:before="40"/>
        <w:ind w:left="360"/>
      </w:pPr>
      <w:r>
        <w:rPr>
          <w:rFonts w:ascii="Calibri" w:hAnsi="Calibri"/>
          <w:sz w:val="22"/>
        </w:rPr>
        <w:t>• Directora</w:t>
      </w:r>
    </w:p>
    <w:p>
      <w:pPr>
        <w:spacing w:after="40" w:before="40"/>
        <w:ind w:left="360"/>
      </w:pPr>
      <w:r>
        <w:rPr>
          <w:rFonts w:ascii="Calibri" w:hAnsi="Calibri"/>
          <w:sz w:val="22"/>
        </w:rPr>
        <w:t>• Flebotomista</w:t>
      </w:r>
    </w:p>
    <w:p>
      <w:pPr>
        <w:spacing w:after="40" w:before="40"/>
        <w:ind w:left="360"/>
      </w:pPr>
      <w:r>
        <w:rPr>
          <w:rFonts w:ascii="Calibri" w:hAnsi="Calibri"/>
          <w:sz w:val="22"/>
        </w:rPr>
        <w:t>• Licenciada de Enfermería</w:t>
      </w:r>
    </w:p>
    <w:p>
      <w:pPr>
        <w:spacing w:after="40" w:before="40"/>
        <w:ind w:left="360"/>
      </w:pPr>
      <w:r>
        <w:rPr>
          <w:rFonts w:ascii="Calibri" w:hAnsi="Calibri"/>
          <w:sz w:val="22"/>
        </w:rPr>
        <w:t>• Educadora CDI-Convenio</w:t>
      </w:r>
    </w:p>
    <w:p>
      <w:pPr>
        <w:spacing w:after="40" w:before="40"/>
        <w:ind w:left="360"/>
      </w:pPr>
      <w:r>
        <w:rPr>
          <w:rFonts w:ascii="Calibri" w:hAnsi="Calibri"/>
          <w:sz w:val="22"/>
        </w:rPr>
        <w:t>• Encargada del DECE</w:t>
      </w:r>
    </w:p>
    <w:p>
      <w:pPr>
        <w:spacing w:after="40" w:before="40"/>
        <w:ind w:left="360"/>
      </w:pPr>
      <w:r>
        <w:rPr>
          <w:rFonts w:ascii="Calibri" w:hAnsi="Calibri"/>
          <w:sz w:val="22"/>
        </w:rPr>
        <w:t>• Asesor comercial</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Desarrolla y orienta actividades académicas como Docente de los estudiantes de la Carrera de Educación Especial (pregrado)</w:t>
      </w:r>
    </w:p>
    <w:p>
      <w:pPr>
        <w:spacing w:after="40" w:before="40"/>
        <w:ind w:left="360"/>
      </w:pPr>
      <w:r>
        <w:rPr>
          <w:rFonts w:ascii="Calibri" w:hAnsi="Calibri"/>
          <w:sz w:val="22"/>
        </w:rPr>
        <w:t>• Administrar y dirigir los requisitos que el MIES impone para los centros de desarrollo infantil. Cuidar, limpiar y enseñar a niños menores de 3 años Así como dar talleres para padres de familia.</w:t>
      </w:r>
    </w:p>
    <w:p>
      <w:pPr>
        <w:spacing w:after="40" w:before="40"/>
        <w:ind w:left="360"/>
      </w:pPr>
      <w:r>
        <w:rPr>
          <w:rFonts w:ascii="Calibri" w:hAnsi="Calibri"/>
          <w:sz w:val="22"/>
        </w:rPr>
        <w:t>• -Toma muestras (sangre, exudados, hisopados, exudados, etc.). -Verifica calidad de las muestras recibidas. - Centrifuga muestras. -Procesa muestras manuales. -Lleva registros de su lugar de trabajo, (temperatura, humedad, ambiente, etc.). -Mantiene abastecimientos en la sucursal sin permitir que hayan caducidades. -Realiza embalaje de muestras para que puedan ser transportadas en buenas condiciones. -Revisa los tiempos en que deben estar los resultados. -Realiza consultas sobre pruebas que no se realizan en el pais. -Supervisa la limpieza del lugar. -Dolores demuestra mucho interés en cosas nuevas.</w:t>
      </w:r>
    </w:p>
    <w:p>
      <w:pPr>
        <w:spacing w:after="40" w:before="40"/>
        <w:ind w:left="360"/>
      </w:pPr>
      <w:r>
        <w:rPr>
          <w:rFonts w:ascii="Calibri" w:hAnsi="Calibri"/>
          <w:sz w:val="22"/>
        </w:rPr>
        <w:t>• Instrumentista en Centro Quirúrgico; canalización de vías periféricas; administración de medicación; toma de signos vitales; atención a pacientes.</w:t>
      </w:r>
    </w:p>
    <w:p>
      <w:pPr>
        <w:spacing w:after="40" w:before="40"/>
        <w:ind w:left="360"/>
      </w:pPr>
      <w:r>
        <w:rPr>
          <w:rFonts w:ascii="Calibri" w:hAnsi="Calibri"/>
          <w:sz w:val="22"/>
        </w:rPr>
        <w:t>• Atención a niños de 1 a 3 años de edad</w:t>
      </w:r>
    </w:p>
    <w:p>
      <w:pPr>
        <w:spacing w:after="40" w:before="40"/>
        <w:ind w:left="360"/>
      </w:pPr>
      <w:r>
        <w:rPr>
          <w:rFonts w:ascii="Calibri" w:hAnsi="Calibri"/>
          <w:sz w:val="22"/>
        </w:rPr>
        <w:t>• Atención a estudiantes en situación de vulnerabilidad Charlas, capacitaciones Trabajo de Orientación vocacional</w:t>
      </w:r>
    </w:p>
    <w:p>
      <w:pPr>
        <w:spacing w:after="40" w:before="40"/>
        <w:ind w:left="360"/>
      </w:pPr>
      <w:r>
        <w:rPr>
          <w:rFonts w:ascii="Calibri" w:hAnsi="Calibri"/>
          <w:sz w:val="22"/>
        </w:rPr>
        <w:t>• Visita periodica a profesionales de laboratorio clínico para ofertar los productos del portafolio de la empresa</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7</w:t>
      </w:r>
      <w:r w:rsidR="00167930">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Falta de experiencia laboral, siempre piden más de dos años y no dan la oportunidad de los recién graduados</w:t>
      </w:r>
    </w:p>
    <w:p>
      <w:pPr>
        <w:spacing w:after="40" w:before="40"/>
        <w:ind w:left="360"/>
      </w:pPr>
      <w:r>
        <w:rPr>
          <w:rFonts w:ascii="Calibri" w:hAnsi="Calibri"/>
          <w:sz w:val="22"/>
        </w:rPr>
        <w:t>• Situación laboral del país</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8</w:t>
      </w:r>
      <w:r w:rsidR="00167930">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8</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6</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75,00%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25,00%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12,50%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37,50%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5</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62,50%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5</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62,50%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6</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75,00%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Pr>
          <w:noProof/>
        </w:rPr>
        <w:t>9</w:t>
      </w:r>
      <w:r w:rsidR="00167930">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No se reportaron nombres específicos de emprendimientos formalizados en la cohorte analizada.</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Pr>
          <w:noProof/>
        </w:rPr>
        <w:t>10</w:t>
      </w:r>
      <w:r w:rsidR="00167930">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25,00%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Otro</w:t>
      </w:r>
    </w:p>
    <w:p>
      <w:pPr>
        <w:spacing w:after="40" w:before="40"/>
        <w:ind w:left="360"/>
      </w:pPr>
      <w:r>
        <w:rPr>
          <w:rFonts w:ascii="Calibri" w:hAnsi="Calibri"/>
          <w:sz w:val="22"/>
        </w:rPr>
        <w:t>• Colombia</w:t>
      </w:r>
    </w:p>
    <w:p>
      <w:pPr>
        <w:spacing w:after="40" w:before="40"/>
        <w:ind w:left="360"/>
      </w:pPr>
      <w:r>
        <w:rPr>
          <w:rFonts w:ascii="Calibri" w:hAnsi="Calibri"/>
          <w:sz w:val="22"/>
        </w:rPr>
        <w:t>• Son cursos, talleres y entrenamientos</w:t>
      </w:r>
    </w:p>
    <w:p>
      <w:pPr>
        <w:spacing w:after="40" w:before="40"/>
        <w:ind w:left="360"/>
      </w:pPr>
      <w:r>
        <w:rPr>
          <w:rFonts w:ascii="Calibri" w:hAnsi="Calibri"/>
          <w:sz w:val="22"/>
        </w:rPr>
        <w:t>• Me capacito</w:t>
      </w:r>
    </w:p>
    <w:p>
      <w:pPr>
        <w:spacing w:after="40" w:before="40"/>
        <w:ind w:left="360"/>
      </w:pPr>
      <w:r>
        <w:rPr>
          <w:rFonts w:ascii="Calibri" w:hAnsi="Calibri"/>
          <w:sz w:val="22"/>
        </w:rPr>
        <w:t>• Unidad Educativa Jaime Roldos Aguilera</w:t>
      </w:r>
    </w:p>
    <w:p>
      <w:pPr>
        <w:spacing w:after="40" w:before="40"/>
        <w:ind w:left="360"/>
      </w:pPr>
      <w:r>
        <w:rPr>
          <w:rFonts w:ascii="Calibri" w:hAnsi="Calibri"/>
          <w:sz w:val="22"/>
        </w:rPr>
        <w:t>• Minedec</w:t>
      </w:r>
    </w:p>
    <w:p>
      <w:pPr>
        <w:spacing w:after="40" w:before="40"/>
        <w:ind w:left="360"/>
      </w:pPr>
      <w:r>
        <w:rPr>
          <w:rFonts w:ascii="Calibri" w:hAnsi="Calibri"/>
          <w:sz w:val="22"/>
        </w:rPr>
        <w:t>• Unl</w:t>
      </w:r>
    </w:p>
    <w:p>
      <w:pPr>
        <w:spacing w:after="40" w:before="40"/>
        <w:ind w:left="360"/>
      </w:pPr>
      <w:r>
        <w:rPr>
          <w:rFonts w:ascii="Calibri" w:hAnsi="Calibri"/>
          <w:sz w:val="22"/>
        </w:rPr>
        <w:t>• Alcaldía de Medellín. Distrito de ciencia, tecnología e innovación</w:t>
      </w:r>
    </w:p>
    <w:p>
      <w:pPr>
        <w:spacing w:after="40" w:before="40"/>
        <w:ind w:left="360"/>
      </w:pPr>
      <w:r>
        <w:rPr>
          <w:rFonts w:ascii="Calibri" w:hAnsi="Calibri"/>
          <w:sz w:val="22"/>
        </w:rPr>
        <w:t>• Si</w:t>
      </w:r>
    </w:p>
    <w:p>
      <w:pPr>
        <w:spacing w:after="40" w:before="40"/>
        <w:ind w:left="360"/>
      </w:pPr>
      <w:r>
        <w:rPr>
          <w:rFonts w:ascii="Calibri" w:hAnsi="Calibri"/>
          <w:sz w:val="22"/>
        </w:rPr>
        <w:t>• Universidad Politecnica Salesiana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0,00% (0 personas) recibió apoyo total, el 12,50% (1 personas) indica apoyo parcial, mientras que el 87,50% (7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Habilidades de liderazgo y gestión</w:t>
      </w:r>
    </w:p>
    <w:p>
      <w:pPr>
        <w:spacing w:after="40" w:before="40"/>
        <w:ind w:left="360"/>
      </w:pPr>
      <w:r>
        <w:rPr>
          <w:rFonts w:ascii="Calibri" w:hAnsi="Calibri"/>
          <w:sz w:val="22"/>
        </w:rPr>
        <w:t>• Planificación Curricular</w:t>
      </w:r>
    </w:p>
    <w:p>
      <w:pPr>
        <w:spacing w:after="40" w:before="40"/>
        <w:ind w:left="360"/>
      </w:pPr>
      <w:r>
        <w:rPr>
          <w:rFonts w:ascii="Calibri" w:hAnsi="Calibri"/>
          <w:sz w:val="22"/>
        </w:rPr>
        <w:t>• Gestion educativa</w:t>
      </w:r>
    </w:p>
    <w:p>
      <w:pPr>
        <w:spacing w:after="40" w:before="40"/>
        <w:ind w:left="360"/>
      </w:pPr>
      <w:r>
        <w:rPr>
          <w:rFonts w:ascii="Calibri" w:hAnsi="Calibri"/>
          <w:sz w:val="22"/>
        </w:rPr>
        <w:t>• Práctica</w:t>
      </w:r>
    </w:p>
    <w:p>
      <w:pPr>
        <w:spacing w:after="40" w:before="40"/>
        <w:ind w:left="360"/>
      </w:pPr>
      <w:r>
        <w:rPr>
          <w:rFonts w:ascii="Calibri" w:hAnsi="Calibri"/>
          <w:sz w:val="22"/>
        </w:rPr>
        <w:t>• Planificación curricular</w:t>
      </w:r>
    </w:p>
    <w:p>
      <w:pPr>
        <w:spacing w:after="40" w:before="40"/>
        <w:ind w:left="360"/>
      </w:pPr>
      <w:r>
        <w:rPr>
          <w:rFonts w:ascii="Calibri" w:hAnsi="Calibri"/>
          <w:sz w:val="22"/>
        </w:rPr>
        <w:t>• Desarrollo de TIC</w:t>
      </w:r>
    </w:p>
    <w:p>
      <w:pPr>
        <w:spacing w:after="40" w:before="40"/>
        <w:ind w:left="360"/>
      </w:pPr>
      <w:r>
        <w:rPr>
          <w:rFonts w:ascii="Calibri" w:hAnsi="Calibri"/>
          <w:sz w:val="22"/>
        </w:rPr>
        <w:t>• Tecnologías emergentes</w:t>
      </w:r>
    </w:p>
    <w:p>
      <w:pPr>
        <w:spacing w:after="40" w:before="40"/>
        <w:ind w:left="360"/>
      </w:pPr>
      <w:r>
        <w:rPr>
          <w:rFonts w:ascii="Calibri" w:hAnsi="Calibri"/>
          <w:sz w:val="22"/>
        </w:rPr>
        <w:t>• Tecnología educativa</w:t>
      </w:r>
    </w:p>
    <w:p>
      <w:pPr>
        <w:spacing w:after="40" w:before="40"/>
        <w:ind w:left="360"/>
      </w:pPr>
      <w:r>
        <w:rPr>
          <w:rFonts w:ascii="Calibri" w:hAnsi="Calibri"/>
          <w:sz w:val="22"/>
        </w:rPr>
        <w:t>• Liderazgo</w:t>
      </w:r>
    </w:p>
    <w:p>
      <w:pPr>
        <w:spacing w:after="40" w:before="40"/>
        <w:ind w:left="360"/>
      </w:pPr>
      <w:r>
        <w:rPr>
          <w:rFonts w:ascii="Calibri" w:hAnsi="Calibri"/>
          <w:sz w:val="22"/>
        </w:rPr>
        <w:t>• Adaptaciones curriculares</w:t>
      </w:r>
    </w:p>
    <w:p>
      <w:pPr>
        <w:spacing w:after="40" w:before="40"/>
        <w:ind w:left="360"/>
      </w:pPr>
      <w:r>
        <w:rPr>
          <w:rFonts w:ascii="Calibri" w:hAnsi="Calibri"/>
          <w:sz w:val="22"/>
        </w:rPr>
        <w:t>• Estrategias digitales para la enseñanza</w:t>
      </w:r>
    </w:p>
    <w:p>
      <w:pPr>
        <w:spacing w:after="40" w:before="40"/>
        <w:ind w:left="360"/>
      </w:pPr>
      <w:r>
        <w:rPr>
          <w:rFonts w:ascii="Calibri" w:hAnsi="Calibri"/>
          <w:sz w:val="22"/>
        </w:rPr>
        <w:t>• Evaluaciones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EN EDUCACIÓN (ENSEÑANZA DE LA  LENGUA Y LITERATURA) - hibrida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Pr>
          <w:noProof/>
        </w:rPr>
        <w:t>11</w:t>
      </w:r>
      <w:r w:rsidR="00167930">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40,00%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15,00%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5,00%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8 empleadores consultados, el 12,50% (1 empleadores) considera que la demanda es Alta, y el 62,50% (5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mujeres (75,00%), en su mayoría solteros (50,00%), de entre 26 y 35 años (55,00%),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80,00% de los maestrantes expresa interés en actualizarse profesionalmente, destacando una preferencia marcada por programas de Doctorado (40,00%).</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(80,00%), seguido del sector privado (10,00%),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0,00%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25,00% de los maestrantes la considera efectiva, frente al 65,00%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16793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1E8370D4">
              <wp:simplePos x="0" y="0"/>
              <wp:positionH relativeFrom="column">
                <wp:posOffset>4459605</wp:posOffset>
              </wp:positionH>
              <wp:positionV relativeFrom="paragraph">
                <wp:posOffset>-249555</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13E913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w:t>
                          </w:r>
                          <w:r w:rsidR="00182163">
                            <w:rPr>
                              <w:rFonts w:ascii="Century Gothic" w:eastAsia="Century Gothic" w:hAnsi="Century Gothic" w:cs="Century Gothic"/>
                              <w:b/>
                              <w:color w:val="000000"/>
                              <w:sz w:val="20"/>
                            </w:rPr>
                            <w:t xml:space="preserve"> Mención en Enseñanza de la Lengua y Literatura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15pt;margin-top:-19.6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" fillcolor="white [3201]" stroked="f">
              <v:textbox inset="2.53958mm,1.2694mm,2.53958mm,1.2694mm">
                <w:txbxContent>
                  <w:p w14:paraId="37AC346D" w14:textId="213E913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w:t>
                    </w:r>
                    <w:r w:rsidR="00182163">
                      <w:rPr>
                        <w:rFonts w:ascii="Century Gothic" w:eastAsia="Century Gothic" w:hAnsi="Century Gothic" w:cs="Century Gothic"/>
                        <w:b/>
                        <w:color w:val="000000"/>
                        <w:sz w:val="20"/>
                      </w:rPr>
                      <w:t xml:space="preserve"> Mención en Enseñanza de la Lengua y Literatura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6793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0610"/>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748AB"/>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91727"/>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F0E82E1-11FF-416C-948A-7B8F5560C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2593</TotalTime>
  <Pages>30</Pages>
  <Words>7720</Words>
  <Characters>42465</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345</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