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752923C5"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 xml:space="preserve">EN EDUCACIÓN CON MENCIÓN EN DOCENCIA E INVESTIGACIÓN EN EDUCACIÓN SUPERIOR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4B73881C" w:rsidR="009521C1" w:rsidRDefault="006E6885"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6E6885">
        <w:rPr>
          <w:rFonts w:ascii="Tahoma" w:eastAsia="Tahoma" w:hAnsi="Tahoma" w:cs="Tahoma"/>
          <w:color w:val="000000"/>
        </w:rPr>
        <w:t>Dr. Vicente Jacinto Riofrío Leiva</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32E37">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F1F500A"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EN </w:t>
            </w:r>
            <w:r w:rsidR="006E6885" w:rsidRPr="006E6885">
              <w:rPr>
                <w:rFonts w:ascii="Arial" w:eastAsia="Tahoma" w:hAnsi="Arial" w:cs="Arial"/>
                <w:b/>
                <w:color w:val="000000"/>
              </w:rPr>
              <w:t>EDUCACIÓN CON MENCIÓN EN DOCENCIA E INVESTIGACIÓN EN EDUCACIÓN SUPERIOR</w:t>
            </w:r>
            <w:bookmarkEnd w:id="1"/>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31</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31</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44DCA300" w:rsidR="00960258" w:rsidRPr="00652C9B" w:rsidRDefault="00332E37"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32E37">
              <w:rPr>
                <w:rFonts w:ascii="Arial" w:eastAsia="Tahoma" w:hAnsi="Arial" w:cs="Arial"/>
                <w:color w:val="000000"/>
              </w:rPr>
              <w:t>Dr. Vicente Jacinto Riofrío Leiva.</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73D1C69B"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6E6885">
        <w:rPr>
          <w:rFonts w:ascii="Arial" w:eastAsia="Tahoma" w:hAnsi="Arial" w:cs="Arial"/>
          <w:color w:val="000000"/>
        </w:rPr>
        <w:t>Maestría en Educación con Mención en Docencia e Investigación en Educación Superior</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51CE16A7"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31.</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3AB563A" w:rsidR="00960258" w:rsidRPr="00652C9B" w:rsidRDefault="00106FA5">
      <w:pPr>
        <w:spacing w:before="240" w:after="240" w:line="240" w:lineRule="auto"/>
        <w:ind w:firstLine="360"/>
        <w:jc w:val="both"/>
        <w:rPr>
          <w:rFonts w:ascii="Arial" w:eastAsia="Tahoma" w:hAnsi="Arial" w:cs="Arial"/>
          <w:color w:val="000000"/>
        </w:rPr>
      </w:pPr>
      <w:r>
        <w:rPr/>
        <w:t>La muestra para la Maestría en Educación con Mención en Docencia e Investigación en Educación Superior, fue de 31,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7DC479E"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0,5*0,5*35</m:t>
                  </m:r>
                </m:num>
                <m:den>
                  <m:d>
                    <m:dPr>
                      <m:ctrlPr>
                        <w:rPr>
                          <w:rFonts w:ascii="Cambria Math" w:eastAsia="Cambria Math" w:hAnsi="Cambria Math" w:cs="Arial"/>
                        </w:rPr>
                      </m:ctrlPr>
                    </m:dPr>
                    <m:e>
                      <m:r>
                        <w:rPr>
                          <w:rFonts w:ascii="Cambria Math" w:eastAsia="Cambria Math" w:hAnsi="Cambria Math" w:cs="Arial"/>
                        </w:rPr>
                        <m:t>35-1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CBF53A4"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6E6885">
              <w:rPr>
                <w:rFonts w:ascii="Arial" w:eastAsia="Arial" w:hAnsi="Arial" w:cs="Arial"/>
              </w:rPr>
              <w:t>31</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65376FE6"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6E6885">
        <w:rPr>
          <w:rFonts w:ascii="Arial" w:eastAsia="Tahoma" w:hAnsi="Arial" w:cs="Arial"/>
          <w:b/>
          <w:color w:val="000000"/>
        </w:rPr>
        <w:t>31</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fldSimple w:instr=" SEQ Tabla \* ARABIC ">
        <w:r w:rsidR="005D60C3">
          <w:rPr>
            <w:noProof/>
          </w:rPr>
          <w:t>1</w:t>
        </w:r>
      </w:fldSimple>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31 maestrantes, con una marcada predominancia masculina (54,84%) frente a un 45,16% de mujeres. El 51,61% son solteros y los rangos de edad predominantes se sitúan entre los 26 y 35 años (51,61%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fldSimple w:instr=" SEQ Tabla \* ARABIC ">
        <w:r w:rsidR="005D60C3">
          <w:rPr>
            <w:noProof/>
          </w:rPr>
          <w:t>2</w:t>
        </w:r>
      </w:fldSimple>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17</w:t>
            </w:r>
          </w:p>
        </w:tc>
        <w:tc>
          <w:tcPr>
            <w:tcW w:w="945" w:type="pct"/>
            <w:noWrap/>
            <w:hideMark/>
          </w:tcPr>
          <w:p>
            <w:pPr>
              <w:spacing w:before="0" w:after="0"/>
              <w:jc w:val="center"/>
            </w:pPr>
            <w:r>
              <w:t>54,84%</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14</w:t>
            </w:r>
          </w:p>
        </w:tc>
        <w:tc>
          <w:tcPr>
            <w:tcW w:w="945" w:type="pct"/>
            <w:noWrap/>
            <w:hideMark/>
          </w:tcPr>
          <w:p>
            <w:pPr>
              <w:spacing w:before="0" w:after="0"/>
              <w:jc w:val="center"/>
            </w:pPr>
            <w:r>
              <w:t>45,16%</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16</w:t>
            </w:r>
          </w:p>
        </w:tc>
        <w:tc>
          <w:tcPr>
            <w:tcW w:w="945" w:type="pct"/>
            <w:noWrap/>
            <w:hideMark/>
          </w:tcPr>
          <w:p>
            <w:pPr>
              <w:spacing w:before="0" w:after="0"/>
              <w:jc w:val="center"/>
            </w:pPr>
            <w:r>
              <w:t>51,61%</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12</w:t>
            </w:r>
          </w:p>
        </w:tc>
        <w:tc>
          <w:tcPr>
            <w:tcW w:w="945" w:type="pct"/>
            <w:noWrap/>
            <w:hideMark/>
          </w:tcPr>
          <w:p>
            <w:pPr>
              <w:spacing w:before="0" w:after="0"/>
              <w:jc w:val="center"/>
            </w:pPr>
            <w:r>
              <w:t>38,71%</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2</w:t>
            </w:r>
          </w:p>
        </w:tc>
        <w:tc>
          <w:tcPr>
            <w:tcW w:w="945" w:type="pct"/>
            <w:noWrap/>
            <w:hideMark/>
          </w:tcPr>
          <w:p>
            <w:pPr>
              <w:spacing w:before="0" w:after="0"/>
              <w:jc w:val="center"/>
            </w:pPr>
            <w:r>
              <w:t>6,45%</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3,23%</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2</w:t>
            </w:r>
          </w:p>
        </w:tc>
        <w:tc>
          <w:tcPr>
            <w:tcW w:w="945" w:type="pct"/>
            <w:noWrap/>
            <w:hideMark/>
          </w:tcPr>
          <w:p>
            <w:pPr>
              <w:spacing w:before="0" w:after="0"/>
              <w:jc w:val="center"/>
            </w:pPr>
            <w:r>
              <w:t>6,45%</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9</w:t>
            </w:r>
          </w:p>
        </w:tc>
        <w:tc>
          <w:tcPr>
            <w:tcW w:w="945" w:type="pct"/>
            <w:noWrap/>
            <w:hideMark/>
          </w:tcPr>
          <w:p>
            <w:pPr>
              <w:spacing w:before="0" w:after="0"/>
              <w:jc w:val="center"/>
            </w:pPr>
            <w:r>
              <w:t>29,03%</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7</w:t>
            </w:r>
          </w:p>
        </w:tc>
        <w:tc>
          <w:tcPr>
            <w:tcW w:w="945" w:type="pct"/>
            <w:noWrap/>
            <w:hideMark/>
          </w:tcPr>
          <w:p>
            <w:pPr>
              <w:spacing w:before="0" w:after="0"/>
              <w:jc w:val="center"/>
            </w:pPr>
            <w:r>
              <w:t>22,58%</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3</w:t>
            </w:r>
          </w:p>
        </w:tc>
        <w:tc>
          <w:tcPr>
            <w:tcW w:w="945" w:type="pct"/>
            <w:noWrap/>
            <w:hideMark/>
          </w:tcPr>
          <w:p>
            <w:pPr>
              <w:spacing w:before="0" w:after="0"/>
              <w:jc w:val="center"/>
            </w:pPr>
            <w:r>
              <w:t>9,68%</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7</w:t>
            </w:r>
          </w:p>
        </w:tc>
        <w:tc>
          <w:tcPr>
            <w:tcW w:w="945" w:type="pct"/>
            <w:noWrap/>
            <w:hideMark/>
          </w:tcPr>
          <w:p>
            <w:pPr>
              <w:spacing w:before="0" w:after="0"/>
              <w:jc w:val="center"/>
            </w:pPr>
            <w:r>
              <w:t>22,58%</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3</w:t>
            </w:r>
          </w:p>
        </w:tc>
        <w:tc>
          <w:tcPr>
            <w:tcW w:w="945" w:type="pct"/>
            <w:noWrap/>
            <w:hideMark/>
          </w:tcPr>
          <w:p>
            <w:pPr>
              <w:spacing w:before="0" w:after="0"/>
              <w:jc w:val="center"/>
            </w:pPr>
            <w:r>
              <w:t>9,68%</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53A3B368"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Comprende y analiza la investigación que se realiza en la Educación Superior, en varios contextos, relacionados con el currículo, la enseñanza, el aprendizaje, la evaluación, la innovación pedagógica y la gestión educativa.</w:t>
      </w:r>
    </w:p>
    <w:p w14:paraId="4A2677F8"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Integra y aplica conocimientos pedagógicos, didácticos y curriculares en la resolución de problemas de la Educación Superior, en los nuevos escenarios y contextos de la formación profesional.</w:t>
      </w:r>
    </w:p>
    <w:p w14:paraId="40D5411B"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Crea, diseña y desarrolla proyectos de investigación educativa en las rutas cuantitativa y cualitativa, en atención a los campos de estudio, dilemas, retos y desafíos que comprende la Educación Superior en las universidades.</w:t>
      </w:r>
    </w:p>
    <w:p w14:paraId="472CF174" w14:textId="4A04685B" w:rsidR="005B316A" w:rsidRPr="005B316A"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Comunica las conclusiones de la investigación, a partir de los conocimientos y argumentos justificantes, para diferentes públicos, a través de diferentes medios y protocolos que utiliza la ciencia</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Pr/>
        <w:t>El 80,65% de los maestrantes (25 personas) evidencia interés en formarse y actualizarse profesionalmente, mientras que el 19,35% restante (6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fldSimple w:instr=" SEQ Tabla \* ARABIC ">
        <w:r w:rsidR="005D60C3">
          <w:rPr>
            <w:noProof/>
          </w:rPr>
          <w:t>3</w:t>
        </w:r>
      </w:fldSimple>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32,26%</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12,90%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6,45%</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6,45%</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12,90%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25,81%</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12,90%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64,52%</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Educación</w:t>
      </w:r>
    </w:p>
    <w:p>
      <w:pPr>
        <w:spacing w:after="40" w:before="40"/>
        <w:ind w:left="360"/>
      </w:pPr>
      <w:r>
        <w:rPr>
          <w:rFonts w:ascii="Calibri" w:hAnsi="Calibri"/>
          <w:sz w:val="22"/>
        </w:rPr>
        <w:t>• Investigación</w:t>
      </w:r>
    </w:p>
    <w:p>
      <w:pPr>
        <w:spacing w:after="40" w:before="40"/>
        <w:ind w:left="360"/>
      </w:pPr>
      <w:r>
        <w:rPr>
          <w:rFonts w:ascii="Calibri" w:hAnsi="Calibri"/>
          <w:sz w:val="22"/>
        </w:rPr>
        <w:t>• Análisis de datos la importancia en la investigación, seguridad del paciente y calidad del servicio hospitalario</w:t>
      </w:r>
    </w:p>
    <w:p>
      <w:pPr>
        <w:spacing w:after="40" w:before="40"/>
        <w:ind w:left="360"/>
      </w:pPr>
      <w:r>
        <w:rPr>
          <w:rFonts w:ascii="Calibri" w:hAnsi="Calibri"/>
          <w:sz w:val="22"/>
        </w:rPr>
        <w:t>• Género</w:t>
      </w:r>
    </w:p>
    <w:p>
      <w:pPr>
        <w:spacing w:after="40" w:before="40"/>
        <w:ind w:left="360"/>
      </w:pPr>
      <w:r>
        <w:rPr>
          <w:rFonts w:ascii="Calibri" w:hAnsi="Calibri"/>
          <w:sz w:val="22"/>
        </w:rPr>
        <w:t>• Contabilidad y Auditoría</w:t>
      </w:r>
    </w:p>
    <w:p>
      <w:pPr>
        <w:spacing w:after="40" w:before="40"/>
        <w:ind w:left="360"/>
      </w:pPr>
      <w:r>
        <w:rPr>
          <w:rFonts w:ascii="Calibri" w:hAnsi="Calibri"/>
          <w:sz w:val="22"/>
        </w:rPr>
        <w:t>• Tecnología y Educación</w:t>
      </w:r>
    </w:p>
    <w:p>
      <w:pPr>
        <w:spacing w:after="40" w:before="40"/>
        <w:ind w:left="360"/>
      </w:pPr>
      <w:r>
        <w:rPr>
          <w:rFonts w:ascii="Calibri" w:hAnsi="Calibri"/>
          <w:sz w:val="22"/>
        </w:rPr>
        <w:t>• Relacionadas a Educación</w:t>
      </w:r>
    </w:p>
    <w:p>
      <w:pPr>
        <w:spacing w:after="40" w:before="40"/>
        <w:ind w:left="360"/>
      </w:pPr>
      <w:r>
        <w:rPr>
          <w:rFonts w:ascii="Calibri" w:hAnsi="Calibri"/>
          <w:sz w:val="22"/>
        </w:rPr>
        <w:t>• Enseñanza de temas técnicos e ingenieriles</w:t>
      </w:r>
    </w:p>
    <w:p>
      <w:pPr>
        <w:spacing w:after="40" w:before="40"/>
        <w:ind w:left="360"/>
      </w:pPr>
      <w:r>
        <w:rPr>
          <w:rFonts w:ascii="Calibri" w:hAnsi="Calibri"/>
          <w:sz w:val="22"/>
        </w:rPr>
        <w:t>• Investigación e inteligencia artificial.</w:t>
      </w:r>
    </w:p>
    <w:p>
      <w:pPr>
        <w:spacing w:after="40" w:before="40"/>
        <w:ind w:left="360"/>
      </w:pPr>
      <w:r>
        <w:rPr>
          <w:rFonts w:ascii="Calibri" w:hAnsi="Calibri"/>
          <w:sz w:val="22"/>
        </w:rPr>
        <w:t>• Relacionadas a la Educación e Investigación</w:t>
      </w:r>
    </w:p>
    <w:p>
      <w:pPr>
        <w:spacing w:after="40" w:before="40"/>
        <w:ind w:left="360"/>
      </w:pPr>
      <w:r>
        <w:rPr>
          <w:rFonts w:ascii="Calibri" w:hAnsi="Calibri"/>
          <w:sz w:val="22"/>
        </w:rPr>
        <w:t>• En el ambito de la educación y la investigación</w:t>
      </w:r>
    </w:p>
    <w:p>
      <w:pPr>
        <w:spacing w:after="40" w:before="40"/>
        <w:ind w:left="360"/>
      </w:pPr>
      <w:r>
        <w:rPr>
          <w:rFonts w:ascii="Calibri" w:hAnsi="Calibri"/>
          <w:sz w:val="22"/>
        </w:rPr>
        <w:t>• Diplomados</w:t>
      </w:r>
    </w:p>
    <w:p>
      <w:pPr>
        <w:spacing w:after="40" w:before="40"/>
        <w:ind w:left="360"/>
      </w:pPr>
      <w:r>
        <w:rPr>
          <w:rFonts w:ascii="Calibri" w:hAnsi="Calibri"/>
          <w:sz w:val="22"/>
        </w:rPr>
        <w:t>• Educación o salud</w:t>
      </w:r>
    </w:p>
    <w:p>
      <w:pPr>
        <w:spacing w:after="40" w:before="40"/>
        <w:ind w:left="360"/>
      </w:pPr>
      <w:r>
        <w:rPr>
          <w:rFonts w:ascii="Calibri" w:hAnsi="Calibri"/>
          <w:sz w:val="22"/>
        </w:rPr>
        <w:t>• Pedagogía, didáctica, desarrollo sostenible</w:t>
      </w:r>
    </w:p>
    <w:p>
      <w:pPr>
        <w:spacing w:after="40" w:before="40"/>
        <w:ind w:left="360"/>
      </w:pPr>
      <w:r>
        <w:rPr>
          <w:rFonts w:ascii="Calibri" w:hAnsi="Calibri"/>
          <w:sz w:val="22"/>
        </w:rPr>
        <w:t>• Mario de la IA</w:t>
      </w:r>
    </w:p>
    <w:p>
      <w:pPr>
        <w:spacing w:after="40" w:before="40"/>
        <w:ind w:left="360"/>
      </w:pPr>
      <w:r>
        <w:rPr>
          <w:rFonts w:ascii="Calibri" w:hAnsi="Calibri"/>
          <w:sz w:val="22"/>
        </w:rPr>
        <w:t>• Innovacion educativa</w:t>
      </w:r>
    </w:p>
    <w:p>
      <w:pPr>
        <w:spacing w:after="40" w:before="40"/>
        <w:ind w:left="360"/>
      </w:pPr>
      <w:r>
        <w:rPr>
          <w:rFonts w:ascii="Calibri" w:hAnsi="Calibri"/>
          <w:sz w:val="22"/>
        </w:rPr>
        <w:t>• Docencia</w:t>
      </w:r>
    </w:p>
    <w:p>
      <w:pPr>
        <w:spacing w:after="40" w:before="40"/>
        <w:ind w:left="360"/>
      </w:pPr>
      <w:r>
        <w:rPr>
          <w:rFonts w:ascii="Calibri" w:hAnsi="Calibri"/>
          <w:sz w:val="22"/>
        </w:rPr>
        <w:t>• Medicina</w:t>
      </w:r>
    </w:p>
    <w:p>
      <w:pPr>
        <w:spacing w:after="40" w:before="40"/>
        <w:ind w:left="360"/>
      </w:pPr>
      <w:r>
        <w:rPr>
          <w:rFonts w:ascii="Calibri" w:hAnsi="Calibri"/>
          <w:sz w:val="22"/>
        </w:rPr>
        <w:t>• Derecho</w:t>
      </w:r>
    </w:p>
    <w:p>
      <w:pPr>
        <w:spacing w:after="40" w:before="40"/>
        <w:ind w:left="360"/>
      </w:pPr>
      <w:r>
        <w:rPr>
          <w:rFonts w:ascii="Calibri" w:hAnsi="Calibri"/>
          <w:sz w:val="22"/>
        </w:rPr>
        <w:t>• Citación y búsqueda de información y publicación de artículos</w:t>
      </w:r>
    </w:p>
    <w:p>
      <w:pPr>
        <w:spacing w:after="40" w:before="40"/>
        <w:ind w:left="360"/>
      </w:pPr>
      <w:r>
        <w:rPr>
          <w:rFonts w:ascii="Calibri" w:hAnsi="Calibri"/>
          <w:sz w:val="22"/>
        </w:rPr>
        <w:t>• Administración educativa o investigación educativa</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3"/>
    <w:p>
      <w:pPr>
        <w:spacing w:after="40" w:before="40"/>
        <w:ind w:left="360"/>
      </w:pPr>
      <w:r>
        <w:rPr>
          <w:rFonts w:ascii="Calibri" w:hAnsi="Calibri"/>
          <w:sz w:val="22"/>
        </w:rPr>
        <w:t>• Practicas profersinales en el campo laboral</w:t>
      </w:r>
    </w:p>
    <w:p>
      <w:pPr>
        <w:spacing w:after="40" w:before="40"/>
        <w:ind w:left="360"/>
      </w:pPr>
      <w:r>
        <w:rPr>
          <w:rFonts w:ascii="Calibri" w:hAnsi="Calibri"/>
          <w:sz w:val="22"/>
        </w:rPr>
        <w:t>• Relaciones interpersonales</w:t>
      </w:r>
    </w:p>
    <w:p>
      <w:pPr>
        <w:spacing w:after="40" w:before="40"/>
        <w:ind w:left="360"/>
      </w:pPr>
      <w:r>
        <w:rPr>
          <w:rFonts w:ascii="Calibri" w:hAnsi="Calibri"/>
          <w:sz w:val="22"/>
        </w:rPr>
        <w:t>• Experiencia</w:t>
      </w:r>
    </w:p>
    <w:p>
      <w:pPr>
        <w:spacing w:after="40" w:before="40"/>
        <w:ind w:left="360"/>
      </w:pPr>
      <w:r>
        <w:rPr>
          <w:rFonts w:ascii="Calibri" w:hAnsi="Calibri"/>
          <w:sz w:val="22"/>
        </w:rPr>
        <w:t>• Normativa nacional e internacional</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Grupo de investigación UNL</w:t>
      </w:r>
    </w:p>
    <w:p>
      <w:pPr>
        <w:spacing w:after="40" w:before="40"/>
        <w:ind w:left="360"/>
      </w:pPr>
      <w:r>
        <w:rPr>
          <w:rFonts w:ascii="Calibri" w:hAnsi="Calibri"/>
          <w:sz w:val="22"/>
        </w:rPr>
        <w:t>• Grupo de investigación: Educación y sociedad UNL</w:t>
      </w:r>
    </w:p>
    <w:p>
      <w:pPr>
        <w:spacing w:after="40" w:before="40"/>
        <w:ind w:left="360"/>
      </w:pPr>
      <w:r>
        <w:rPr>
          <w:rFonts w:ascii="Calibri" w:hAnsi="Calibri"/>
          <w:sz w:val="22"/>
        </w:rPr>
        <w:t>• Redu</w:t>
      </w:r>
    </w:p>
    <w:p>
      <w:pPr>
        <w:spacing w:after="40" w:before="40"/>
        <w:ind w:left="360"/>
      </w:pPr>
      <w:r>
        <w:rPr>
          <w:rFonts w:ascii="Calibri" w:hAnsi="Calibri"/>
          <w:sz w:val="22"/>
        </w:rPr>
        <w:t>• Python España, EscuelaCryptoES y ETH Ecuador</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0BACA8E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6E6885">
        <w:rPr>
          <w:rFonts w:ascii="Arial" w:eastAsia="Tahoma" w:hAnsi="Arial" w:cs="Arial"/>
          <w:color w:val="000000"/>
        </w:rPr>
        <w:t>Maestría en Educación con Mención en Docencia e Investigación en Educación Superior</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fldSimple w:instr=" SEQ Tabla \* ARABIC ">
        <w:r w:rsidR="005D60C3">
          <w:rPr>
            <w:noProof/>
          </w:rPr>
          <w:t>4</w:t>
        </w:r>
      </w:fldSimple>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3"/>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fldSimple w:instr=" SEQ Tabla \* ARABIC ">
        <w:r w:rsidR="005D60C3">
          <w:rPr>
            <w:noProof/>
          </w:rPr>
          <w:t>5</w:t>
        </w:r>
      </w:fldSimple>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fldSimple w:instr=" SEQ Tabla \* ARABIC ">
        <w:r w:rsidR="005D60C3">
          <w:rPr>
            <w:noProof/>
          </w:rPr>
          <w:t>6</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9,68%</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9,68%</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3,23%</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16,13%</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2"/>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fldSimple w:instr=" SEQ Tabla \* ARABIC ">
        <w:r w:rsidR="005D60C3">
          <w:rPr>
            <w:noProof/>
          </w:rPr>
          <w:t>7</w:t>
        </w:r>
      </w:fldSimple>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Falta de plazas</w:t>
      </w:r>
    </w:p>
    <w:p>
      <w:pPr>
        <w:spacing w:after="40" w:before="40"/>
        <w:ind w:left="360"/>
      </w:pPr>
      <w:r>
        <w:rPr>
          <w:rFonts w:ascii="Calibri" w:hAnsi="Calibri"/>
          <w:sz w:val="22"/>
        </w:rPr>
        <w:t>• Edad</w:t>
      </w:r>
    </w:p>
    <w:p>
      <w:pPr>
        <w:spacing w:after="40" w:before="40"/>
        <w:ind w:left="360"/>
      </w:pPr>
      <w:r>
        <w:rPr>
          <w:rFonts w:ascii="Calibri" w:hAnsi="Calibri"/>
          <w:sz w:val="22"/>
        </w:rPr>
        <w:t>• Porque mi titulo de Grado no es acorde a el de Posgrado ( en Educación) por falta de experiencia</w:t>
      </w:r>
    </w:p>
    <w:p>
      <w:pPr>
        <w:spacing w:after="40" w:before="40"/>
        <w:ind w:left="360"/>
      </w:pPr>
      <w:r>
        <w:rPr>
          <w:rFonts w:ascii="Calibri" w:hAnsi="Calibri"/>
          <w:sz w:val="22"/>
        </w:rPr>
        <w:t>• Las universidades prefieren otros perfiles antes que los recién graduados de maestrías</w:t>
      </w:r>
    </w:p>
    <w:p>
      <w:pPr>
        <w:spacing w:after="40" w:before="40"/>
        <w:ind w:left="360"/>
      </w:pPr>
      <w:r>
        <w:rPr>
          <w:rFonts w:ascii="Calibri" w:hAnsi="Calibri"/>
          <w:sz w:val="22"/>
        </w:rPr>
        <w:t>• Falta de oportunidades para demostrar habilidades</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fldSimple w:instr=" SEQ Tabla \* ARABIC ">
        <w:r w:rsidR="005D60C3">
          <w:rPr>
            <w:noProof/>
          </w:rPr>
          <w:t>8</w:t>
        </w:r>
      </w:fldSimple>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2</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100,00%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fldSimple w:instr=" SEQ Tabla \* ARABIC ">
        <w:r>
          <w:rPr>
            <w:noProof/>
          </w:rPr>
          <w:t>9</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9,68%</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9,68%</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3,23%</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16,13%</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"Centro de atención Psicopedagogos",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fldSimple w:instr=" SEQ Tabla \* ARABIC ">
        <w:r>
          <w:rPr>
            <w:noProof/>
          </w:rPr>
          <w:t>10</w:t>
        </w:r>
      </w:fldSimple>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3,23%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6,45%</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19,35%</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19,35%</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61,29%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9"/>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Otro</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México</w:t>
      </w:r>
    </w:p>
    <w:p>
      <w:pPr>
        <w:spacing w:after="40" w:before="40"/>
        <w:ind w:left="360"/>
      </w:pPr>
      <w:r>
        <w:rPr>
          <w:rFonts w:ascii="Calibri" w:hAnsi="Calibri"/>
          <w:sz w:val="22"/>
        </w:rPr>
        <w:t>• Universidad de Panamá</w:t>
      </w:r>
    </w:p>
    <w:p>
      <w:pPr>
        <w:spacing w:after="40" w:before="40"/>
        <w:ind w:left="360"/>
      </w:pPr>
      <w:r>
        <w:rPr>
          <w:rFonts w:ascii="Calibri" w:hAnsi="Calibri"/>
          <w:sz w:val="22"/>
        </w:rPr>
        <w:t>• Udla, epunemi</w:t>
      </w:r>
    </w:p>
    <w:p>
      <w:pPr>
        <w:spacing w:after="40" w:before="40"/>
        <w:ind w:left="360"/>
      </w:pPr>
      <w:r>
        <w:rPr>
          <w:rFonts w:ascii="Calibri" w:hAnsi="Calibri"/>
          <w:sz w:val="22"/>
        </w:rPr>
        <w:t>• Ucab</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Universidad Internacional de Valencia</w:t>
      </w:r>
    </w:p>
    <w:p>
      <w:pPr>
        <w:spacing w:after="40" w:before="40"/>
        <w:ind w:left="360"/>
      </w:pPr>
      <w:r>
        <w:rPr>
          <w:rFonts w:ascii="Calibri" w:hAnsi="Calibri"/>
          <w:sz w:val="22"/>
        </w:rPr>
        <w:t>• Universidad Benito Juarez Oaxaca</w:t>
      </w:r>
    </w:p>
    <w:p>
      <w:pPr>
        <w:spacing w:after="40" w:before="40"/>
        <w:ind w:left="360"/>
      </w:pPr>
      <w:r>
        <w:rPr>
          <w:rFonts w:ascii="Calibri" w:hAnsi="Calibri"/>
          <w:sz w:val="22"/>
        </w:rPr>
        <w:t>• Unl</w:t>
      </w:r>
    </w:p>
    <w:p>
      <w:pPr>
        <w:spacing w:after="40" w:before="40"/>
        <w:ind w:left="360"/>
      </w:pPr>
      <w:r>
        <w:rPr>
          <w:rFonts w:ascii="Calibri" w:hAnsi="Calibri"/>
          <w:sz w:val="22"/>
        </w:rPr>
        <w:t>• Estoy postulando al Doctorado en Educación de la UNAE</w:t>
      </w:r>
    </w:p>
    <w:p>
      <w:pPr>
        <w:spacing w:after="40" w:before="40"/>
        <w:ind w:left="360"/>
      </w:pPr>
      <w:r>
        <w:rPr>
          <w:rFonts w:ascii="Calibri" w:hAnsi="Calibri"/>
          <w:sz w:val="22"/>
        </w:rPr>
        <w:t>• Universidad de Guayaquil</w:t>
      </w:r>
    </w:p>
    <w:p>
      <w:pPr>
        <w:spacing w:after="40" w:before="40"/>
        <w:ind w:left="360"/>
      </w:pPr>
      <w:r>
        <w:rPr>
          <w:rFonts w:ascii="Calibri" w:hAnsi="Calibri"/>
          <w:sz w:val="22"/>
        </w:rPr>
        <w:t>• Unuversidad Nacional de Loja</w:t>
      </w:r>
    </w:p>
    <w:p>
      <w:pPr>
        <w:spacing w:after="40" w:before="40"/>
        <w:ind w:left="360"/>
      </w:pPr>
      <w:r>
        <w:rPr>
          <w:rFonts w:ascii="Calibri" w:hAnsi="Calibri"/>
          <w:sz w:val="22"/>
        </w:rPr>
        <w:t>• Unir</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60"/>
    </w:p>
    <w:p w14:paraId="6EF1B196" w14:textId="05A1E4A3" w:rsidR="00960258" w:rsidRDefault="00680895" w:rsidP="00772E78">
      <w:pPr>
        <w:spacing w:before="80" w:after="80" w:line="276" w:lineRule="auto"/>
        <w:jc w:val="both"/>
        <w:rPr>
          <w:rFonts w:ascii="Arial" w:eastAsia="Arial" w:hAnsi="Arial" w:cs="Arial"/>
        </w:rPr>
      </w:pPr>
      <w:r>
        <w:rPr/>
        <w:t>Los datos muestran que el 100,00% (2 personas) recibió apoyo total, el 0,00% (0 personas) indica apoyo parcial, mientras que el 0,00% (0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Practicas profersinales en el campo laboral</w:t>
      </w:r>
    </w:p>
    <w:p>
      <w:pPr>
        <w:spacing w:after="40" w:before="40"/>
        <w:ind w:left="360"/>
      </w:pPr>
      <w:r>
        <w:rPr>
          <w:rFonts w:ascii="Calibri" w:hAnsi="Calibri"/>
          <w:sz w:val="22"/>
        </w:rPr>
        <w:t>• Relaciones interpersonales</w:t>
      </w:r>
    </w:p>
    <w:p>
      <w:pPr>
        <w:spacing w:after="40" w:before="40"/>
        <w:ind w:left="360"/>
      </w:pPr>
      <w:r>
        <w:rPr>
          <w:rFonts w:ascii="Calibri" w:hAnsi="Calibri"/>
          <w:sz w:val="22"/>
        </w:rPr>
        <w:t>• Experiencia</w:t>
      </w:r>
    </w:p>
    <w:p>
      <w:pPr>
        <w:spacing w:after="40" w:before="40"/>
        <w:ind w:left="360"/>
      </w:pPr>
      <w:r>
        <w:rPr>
          <w:rFonts w:ascii="Calibri" w:hAnsi="Calibri"/>
          <w:sz w:val="22"/>
        </w:rPr>
        <w:t>• Normativa nacional e internacional</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EN EDUCACIÓN (DOCENCIA E INVESTIGACIÓN EN EDUCACIÓN SUPERIOR) - semipresencial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fldSimple w:instr=" SEQ Tabla \* ARABIC ">
        <w:r>
          <w:rPr>
            <w:noProof/>
          </w:rPr>
          <w:t>11</w:t>
        </w:r>
      </w:fldSimple>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29,03%</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15</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48,39%</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16,13%</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6,45%</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Pr/>
        <w:t>De los 2 empleadores consultados, el 0,00% (0 empleadores) considera que la demanda es Alta, y el 100,00% (2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hombres (54,84%), en su mayoría solteros (51,61%), de entre 26 y 35 años (51,61%),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80,65% de los maestrantes expresa interés en actualizarse profesionalmente, destacando una preferencia marcada por programas de Doctorado (64,52%).</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(61,29%), seguido del sector privado (9,68%),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3,23%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3,23% de los maestrantes la considera efectiva, frente al 67,74%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32E37">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114422DF">
              <wp:simplePos x="0" y="0"/>
              <wp:positionH relativeFrom="column">
                <wp:posOffset>4413885</wp:posOffset>
              </wp:positionH>
              <wp:positionV relativeFrom="paragraph">
                <wp:posOffset>-221615</wp:posOffset>
              </wp:positionV>
              <wp:extent cx="1722120" cy="845820"/>
              <wp:effectExtent l="0" t="0" r="0" b="0"/>
              <wp:wrapNone/>
              <wp:docPr id="28" name=""/>
              <wp:cNvGraphicFramePr/>
              <a:graphic xmlns:a="http://schemas.openxmlformats.org/drawingml/2006/main">
                <a:graphicData uri="http://schemas.microsoft.com/office/word/2010/wordprocessingShape">
                  <wps:wsp>
                    <wps:cNvSpPr/>
                    <wps:spPr>
                      <a:xfrm>
                        <a:off x="0" y="0"/>
                        <a:ext cx="1722120" cy="845820"/>
                      </a:xfrm>
                      <a:prstGeom prst="rect">
                        <a:avLst/>
                      </a:prstGeom>
                      <a:solidFill>
                        <a:schemeClr val="lt1"/>
                      </a:solidFill>
                      <a:ln>
                        <a:noFill/>
                      </a:ln>
                    </wps:spPr>
                    <wps:txbx>
                      <w:txbxContent>
                        <w:p w14:paraId="37AC346D" w14:textId="7C9A59F5"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E6885" w:rsidRPr="006E6885">
                            <w:rPr>
                              <w:rFonts w:ascii="Century Gothic" w:eastAsia="Century Gothic" w:hAnsi="Century Gothic" w:cs="Century Gothic"/>
                              <w:b/>
                              <w:color w:val="000000"/>
                              <w:sz w:val="20"/>
                            </w:rPr>
                            <w:t xml:space="preserve">Docencia </w:t>
                          </w:r>
                          <w:r w:rsidR="006E6885">
                            <w:rPr>
                              <w:rFonts w:ascii="Century Gothic" w:eastAsia="Century Gothic" w:hAnsi="Century Gothic" w:cs="Century Gothic"/>
                              <w:b/>
                              <w:color w:val="000000"/>
                              <w:sz w:val="20"/>
                            </w:rPr>
                            <w:t xml:space="preserve">e </w:t>
                          </w:r>
                          <w:r w:rsidR="006E6885" w:rsidRPr="006E6885">
                            <w:rPr>
                              <w:rFonts w:ascii="Century Gothic" w:eastAsia="Century Gothic" w:hAnsi="Century Gothic" w:cs="Century Gothic"/>
                              <w:b/>
                              <w:color w:val="000000"/>
                              <w:sz w:val="20"/>
                            </w:rPr>
                            <w:t xml:space="preserve">Investigación </w:t>
                          </w:r>
                          <w:r w:rsidR="006E6885">
                            <w:rPr>
                              <w:rFonts w:ascii="Century Gothic" w:eastAsia="Century Gothic" w:hAnsi="Century Gothic" w:cs="Century Gothic"/>
                              <w:b/>
                              <w:color w:val="000000"/>
                              <w:sz w:val="20"/>
                            </w:rPr>
                            <w:t xml:space="preserve">en </w:t>
                          </w:r>
                          <w:r w:rsidR="006E6885" w:rsidRPr="006E6885">
                            <w:rPr>
                              <w:rFonts w:ascii="Century Gothic" w:eastAsia="Century Gothic" w:hAnsi="Century Gothic" w:cs="Century Gothic"/>
                              <w:b/>
                              <w:color w:val="000000"/>
                              <w:sz w:val="20"/>
                            </w:rPr>
                            <w:t>Educación Superior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17.45pt;width:135.6pt;height:6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" fillcolor="white [3201]" stroked="f">
              <v:textbox inset="2.53958mm,1.2694mm,2.53958mm,1.2694mm">
                <w:txbxContent>
                  <w:p w14:paraId="37AC346D" w14:textId="7C9A59F5"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E6885" w:rsidRPr="006E6885">
                      <w:rPr>
                        <w:rFonts w:ascii="Century Gothic" w:eastAsia="Century Gothic" w:hAnsi="Century Gothic" w:cs="Century Gothic"/>
                        <w:b/>
                        <w:color w:val="000000"/>
                        <w:sz w:val="20"/>
                      </w:rPr>
                      <w:t xml:space="preserve">Docencia </w:t>
                    </w:r>
                    <w:r w:rsidR="006E6885">
                      <w:rPr>
                        <w:rFonts w:ascii="Century Gothic" w:eastAsia="Century Gothic" w:hAnsi="Century Gothic" w:cs="Century Gothic"/>
                        <w:b/>
                        <w:color w:val="000000"/>
                        <w:sz w:val="20"/>
                      </w:rPr>
                      <w:t xml:space="preserve">e </w:t>
                    </w:r>
                    <w:r w:rsidR="006E6885" w:rsidRPr="006E6885">
                      <w:rPr>
                        <w:rFonts w:ascii="Century Gothic" w:eastAsia="Century Gothic" w:hAnsi="Century Gothic" w:cs="Century Gothic"/>
                        <w:b/>
                        <w:color w:val="000000"/>
                        <w:sz w:val="20"/>
                      </w:rPr>
                      <w:t xml:space="preserve">Investigación </w:t>
                    </w:r>
                    <w:r w:rsidR="006E6885">
                      <w:rPr>
                        <w:rFonts w:ascii="Century Gothic" w:eastAsia="Century Gothic" w:hAnsi="Century Gothic" w:cs="Century Gothic"/>
                        <w:b/>
                        <w:color w:val="000000"/>
                        <w:sz w:val="20"/>
                      </w:rPr>
                      <w:t xml:space="preserve">en </w:t>
                    </w:r>
                    <w:r w:rsidR="006E6885" w:rsidRPr="006E6885">
                      <w:rPr>
                        <w:rFonts w:ascii="Century Gothic" w:eastAsia="Century Gothic" w:hAnsi="Century Gothic" w:cs="Century Gothic"/>
                        <w:b/>
                        <w:color w:val="000000"/>
                        <w:sz w:val="20"/>
                      </w:rPr>
                      <w:t>Educación Superior</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32E37"/>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67BEFA7-4585-4915-9BC4-F1BE5A77B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2596</TotalTime>
  <Pages>30</Pages>
  <Words>7807</Words>
  <Characters>42939</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345</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