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9ACDA09"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GESTIÓN EDUCATIVA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A0BA675" w:rsidR="009521C1" w:rsidRDefault="008E0FC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8E0FC9">
        <w:rPr>
          <w:rFonts w:ascii="Tahoma" w:eastAsia="Tahoma" w:hAnsi="Tahoma" w:cs="Tahoma"/>
          <w:color w:val="000000"/>
        </w:rPr>
        <w:t>Dra. Marcia Criollo Vargas, Ph.D</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7F0B7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FE388EA"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bookmarkEnd w:id="1"/>
            <w:r w:rsidR="008E0FC9">
              <w:rPr>
                <w:rFonts w:ascii="Arial" w:eastAsia="Tahoma" w:hAnsi="Arial" w:cs="Arial"/>
                <w:b/>
                <w:color w:val="000000"/>
              </w:rPr>
              <w:t>GESTIÓN EDUCATIVA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18</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18</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63A379C" w:rsidR="00960258" w:rsidRPr="00652C9B" w:rsidRDefault="007F0B77"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7F0B77">
              <w:rPr>
                <w:rFonts w:ascii="Arial" w:eastAsia="Tahoma" w:hAnsi="Arial" w:cs="Arial"/>
                <w:color w:val="000000"/>
              </w:rPr>
              <w:t>Dra. Marcia Criollo Vargas, Ph.D.</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5482DE89"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8E0FC9">
        <w:rPr>
          <w:rFonts w:ascii="Arial" w:eastAsia="Tahoma" w:hAnsi="Arial" w:cs="Arial"/>
          <w:color w:val="000000"/>
        </w:rPr>
        <w:t>Maestría en Gestión Educativa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C07D52D"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18.</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0CEB427" w:rsidR="00960258" w:rsidRPr="00652C9B" w:rsidRDefault="00106FA5">
      <w:pPr>
        <w:spacing w:before="240" w:after="240" w:line="240" w:lineRule="auto"/>
        <w:ind w:firstLine="360"/>
        <w:jc w:val="both"/>
        <w:rPr>
          <w:rFonts w:ascii="Arial" w:eastAsia="Tahoma" w:hAnsi="Arial" w:cs="Arial"/>
          <w:color w:val="000000"/>
        </w:rPr>
      </w:pPr>
      <w:r>
        <w:rPr/>
        <w:t>La muestra para la Maestría en Gestión Educativa, fue de 18,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938EA3A"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0,5*0,5*19</m:t>
                  </m:r>
                </m:num>
                <m:den>
                  <m:d>
                    <m:dPr>
                      <m:ctrlPr>
                        <w:rPr>
                          <w:rFonts w:ascii="Cambria Math" w:eastAsia="Cambria Math" w:hAnsi="Cambria Math" w:cs="Arial"/>
                        </w:rPr>
                      </m:ctrlPr>
                    </m:dPr>
                    <m:e>
                      <m:r>
                        <w:rPr>
                          <w:rFonts w:ascii="Cambria Math" w:eastAsia="Cambria Math" w:hAnsi="Cambria Math" w:cs="Arial"/>
                        </w:rPr>
                        <m:t>19-1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2F1ABC19"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8E0FC9">
              <w:rPr>
                <w:rFonts w:ascii="Arial" w:eastAsia="Arial" w:hAnsi="Arial" w:cs="Arial"/>
              </w:rPr>
              <w:t>18</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2BEC7CB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8E0FC9">
        <w:rPr>
          <w:rFonts w:ascii="Arial" w:eastAsia="Tahoma" w:hAnsi="Arial" w:cs="Arial"/>
          <w:b/>
          <w:color w:val="000000"/>
        </w:rPr>
        <w:t>18</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7F0B77">
        <w:rPr/>
        <w:fldChar w:fldCharType="begin"/>
      </w:r>
      <w:r w:rsidR="007F0B77">
        <w:rPr/>
        <w:instrText xml:space="preserve"> SEQ Tabla \* ARABIC </w:instrText>
      </w:r>
      <w:r w:rsidR="007F0B77">
        <w:rPr/>
        <w:fldChar w:fldCharType="separate"/>
      </w:r>
      <w:r w:rsidR="005D60C3">
        <w:rPr>
          <w:noProof/>
        </w:rPr>
        <w:t>1</w:t>
      </w:r>
      <w:r w:rsidR="007F0B77">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18 maestrantes, con una marcada predominancia masculina (50,00%) frente a un 50,00% de mujeres. El 50,00% son solteros y los rangos de edad predominantes se sitúan entre los 26 y 35 años (44,44%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7F0B77">
        <w:rPr/>
        <w:fldChar w:fldCharType="begin"/>
      </w:r>
      <w:r w:rsidR="007F0B77">
        <w:rPr/>
        <w:instrText xml:space="preserve"> SEQ Tabla \* ARABIC </w:instrText>
      </w:r>
      <w:r w:rsidR="007F0B77">
        <w:rPr/>
        <w:fldChar w:fldCharType="separate"/>
      </w:r>
      <w:r w:rsidR="005D60C3">
        <w:rPr>
          <w:noProof/>
        </w:rPr>
        <w:t>2</w:t>
      </w:r>
      <w:r w:rsidR="007F0B77">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6</w:t>
            </w:r>
          </w:p>
        </w:tc>
        <w:tc>
          <w:tcPr>
            <w:tcW w:w="945" w:type="pct"/>
            <w:noWrap/>
            <w:hideMark/>
          </w:tcPr>
          <w:p>
            <w:pPr>
              <w:spacing w:before="0" w:after="0"/>
              <w:jc w:val="center"/>
            </w:pPr>
            <w:r>
              <w:t>33,33%</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2</w:t>
            </w:r>
          </w:p>
        </w:tc>
        <w:tc>
          <w:tcPr>
            <w:tcW w:w="945" w:type="pct"/>
            <w:noWrap/>
            <w:hideMark/>
          </w:tcPr>
          <w:p>
            <w:pPr>
              <w:spacing w:before="0" w:after="0"/>
              <w:jc w:val="center"/>
            </w:pPr>
            <w:r>
              <w:t>11,11%</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5,56%</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4</w:t>
            </w:r>
          </w:p>
        </w:tc>
        <w:tc>
          <w:tcPr>
            <w:tcW w:w="945" w:type="pct"/>
            <w:noWrap/>
            <w:hideMark/>
          </w:tcPr>
          <w:p>
            <w:pPr>
              <w:spacing w:before="0" w:after="0"/>
              <w:jc w:val="center"/>
            </w:pPr>
            <w:r>
              <w:t>22,22%</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3</w:t>
            </w:r>
          </w:p>
        </w:tc>
        <w:tc>
          <w:tcPr>
            <w:tcW w:w="945" w:type="pct"/>
            <w:noWrap/>
            <w:hideMark/>
          </w:tcPr>
          <w:p>
            <w:pPr>
              <w:spacing w:before="0" w:after="0"/>
              <w:jc w:val="center"/>
            </w:pPr>
            <w:r>
              <w:t>16,67%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5</w:t>
            </w:r>
          </w:p>
        </w:tc>
        <w:tc>
          <w:tcPr>
            <w:tcW w:w="945" w:type="pct"/>
            <w:noWrap/>
            <w:hideMark/>
          </w:tcPr>
          <w:p>
            <w:pPr>
              <w:spacing w:before="0" w:after="0"/>
              <w:jc w:val="center"/>
            </w:pPr>
            <w:r>
              <w:t>27,78%</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5</w:t>
            </w:r>
          </w:p>
        </w:tc>
        <w:tc>
          <w:tcPr>
            <w:tcW w:w="945" w:type="pct"/>
            <w:noWrap/>
            <w:hideMark/>
          </w:tcPr>
          <w:p>
            <w:pPr>
              <w:spacing w:before="0" w:after="0"/>
              <w:jc w:val="center"/>
            </w:pPr>
            <w:r>
              <w:t>27,78%</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5,56%</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1B5E7E9E" w14:textId="039F29AD" w:rsidR="003D0BC7" w:rsidRPr="003D0BC7" w:rsidRDefault="003D0BC7" w:rsidP="003D0BC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El graduado de Magíster en Gestión Educativa desarrollara las siguientes competencias: </w:t>
      </w:r>
    </w:p>
    <w:p w14:paraId="132C3111"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Planifica, elabora, ejecuta, evalúa, y asesora propuestas de planificación estratégica institucional </w:t>
      </w:r>
      <w:proofErr w:type="gramStart"/>
      <w:r w:rsidRPr="003D0BC7">
        <w:rPr>
          <w:rFonts w:ascii="Arial" w:eastAsia="Tahoma" w:hAnsi="Arial" w:cs="Arial"/>
          <w:color w:val="000000"/>
        </w:rPr>
        <w:t>que</w:t>
      </w:r>
      <w:proofErr w:type="gramEnd"/>
      <w:r w:rsidRPr="003D0BC7">
        <w:rPr>
          <w:rFonts w:ascii="Arial" w:eastAsia="Tahoma" w:hAnsi="Arial" w:cs="Arial"/>
          <w:color w:val="000000"/>
        </w:rPr>
        <w:t xml:space="preserve"> fundamentada en procesos de diagnóstico e investigación, guía de manera eficiente el cumplimiento de objetivos institucionales en armonía con el contexto educativo.</w:t>
      </w:r>
    </w:p>
    <w:p w14:paraId="21631F76"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Diseña, aplica, asesora y evalúa propuestas de estructuras organizativas eficientes para promover mecanismos de coordinación, autoridad formal, y delegación de funciones para ejercer la dirección con responsabilidad social.</w:t>
      </w:r>
    </w:p>
    <w:p w14:paraId="72BAB3E0"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Implementa, asesora, y promueve propuestas con estilos de liderazgo participativos que aseguren una comunicación efectiva, toma de decisiones asertivas, trabajo en equipo y resolución pacífica de conflictos para generar una convivencia laboral armónica.</w:t>
      </w:r>
    </w:p>
    <w:p w14:paraId="472CF174" w14:textId="7F93998C" w:rsidR="005B316A" w:rsidRPr="005B316A"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Diseña, aplica, evalúa, asesora e implementa propuestas de mecanismos de control, monitoreo y seguimiento, considerando los estándares de calidad, </w:t>
      </w:r>
      <w:proofErr w:type="gramStart"/>
      <w:r w:rsidRPr="003D0BC7">
        <w:rPr>
          <w:rFonts w:ascii="Arial" w:eastAsia="Tahoma" w:hAnsi="Arial" w:cs="Arial"/>
          <w:color w:val="000000"/>
        </w:rPr>
        <w:t>legislación  políticas</w:t>
      </w:r>
      <w:proofErr w:type="gramEnd"/>
      <w:r w:rsidRPr="003D0BC7">
        <w:rPr>
          <w:rFonts w:ascii="Arial" w:eastAsia="Tahoma" w:hAnsi="Arial" w:cs="Arial"/>
          <w:color w:val="000000"/>
        </w:rPr>
        <w:t xml:space="preserve"> educativas para asegurar cumplimiento de los objetivos y misión institucional de manera que permitan una educación inclusiva y eficiente y acreditada en el Sistema Educativo Nacional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77,78% de los maestrantes (14 personas) evidencia interés en formarse y actualizarse profesionalmente, mientras que el 22,22% restante (4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3</w:t>
      </w:r>
      <w:r w:rsidR="007F0B77">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11,11%</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44,44%</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16,67%</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16,67%</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27,78%</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Educación, ambiente</w:t>
      </w:r>
    </w:p>
    <w:p>
      <w:pPr>
        <w:spacing w:after="40" w:before="40"/>
        <w:ind w:left="360"/>
      </w:pPr>
      <w:r>
        <w:rPr>
          <w:rFonts w:ascii="Calibri" w:hAnsi="Calibri"/>
          <w:sz w:val="22"/>
        </w:rPr>
        <w:t>• Areas Administrativas. Aplicacion de la Ai</w:t>
      </w:r>
    </w:p>
    <w:p>
      <w:pPr>
        <w:spacing w:after="40" w:before="40"/>
        <w:ind w:left="360"/>
      </w:pPr>
      <w:r>
        <w:rPr>
          <w:rFonts w:ascii="Calibri" w:hAnsi="Calibri"/>
          <w:sz w:val="22"/>
        </w:rPr>
        <w:t>• Procesos de Gestión Educativa en las instituciones educativas</w:t>
      </w:r>
    </w:p>
    <w:p>
      <w:pPr>
        <w:spacing w:after="40" w:before="40"/>
        <w:ind w:left="360"/>
      </w:pPr>
      <w:r>
        <w:rPr>
          <w:rFonts w:ascii="Calibri" w:hAnsi="Calibri"/>
          <w:sz w:val="22"/>
        </w:rPr>
        <w:t>• Educación y Sistemas computacionales</w:t>
      </w:r>
    </w:p>
    <w:p>
      <w:pPr>
        <w:spacing w:after="40" w:before="40"/>
        <w:ind w:left="360"/>
      </w:pPr>
      <w:r>
        <w:rPr>
          <w:rFonts w:ascii="Calibri" w:hAnsi="Calibri"/>
          <w:sz w:val="22"/>
        </w:rPr>
        <w:t>• Herramientas TIC para optimizar la gestión educativa.</w:t>
      </w:r>
    </w:p>
    <w:p>
      <w:pPr>
        <w:spacing w:after="40" w:before="40"/>
        <w:ind w:left="360"/>
      </w:pPr>
      <w:r>
        <w:rPr>
          <w:rFonts w:ascii="Calibri" w:hAnsi="Calibri"/>
          <w:sz w:val="22"/>
        </w:rPr>
        <w:t>• En tecnologías para educación</w:t>
      </w:r>
    </w:p>
    <w:p>
      <w:pPr>
        <w:spacing w:after="40" w:before="40"/>
        <w:ind w:left="360"/>
      </w:pPr>
      <w:r>
        <w:rPr>
          <w:rFonts w:ascii="Calibri" w:hAnsi="Calibri"/>
          <w:sz w:val="22"/>
        </w:rPr>
        <w:t>• Estrategias de enseñanza</w:t>
      </w:r>
    </w:p>
    <w:p>
      <w:pPr>
        <w:spacing w:after="40" w:before="40"/>
        <w:ind w:left="360"/>
      </w:pPr>
      <w:r>
        <w:rPr>
          <w:rFonts w:ascii="Calibri" w:hAnsi="Calibri"/>
          <w:sz w:val="22"/>
        </w:rPr>
        <w:t>• Sobre liderazgo</w:t>
      </w:r>
    </w:p>
    <w:p>
      <w:pPr>
        <w:spacing w:after="40" w:before="40"/>
        <w:ind w:left="360"/>
      </w:pPr>
      <w:r>
        <w:rPr>
          <w:rFonts w:ascii="Calibri" w:hAnsi="Calibri"/>
          <w:sz w:val="22"/>
        </w:rPr>
        <w:t>• Educacion</w:t>
      </w:r>
    </w:p>
    <w:p>
      <w:pPr>
        <w:spacing w:after="40" w:before="40"/>
        <w:ind w:left="360"/>
      </w:pPr>
      <w:r>
        <w:rPr>
          <w:rFonts w:ascii="Calibri" w:hAnsi="Calibri"/>
          <w:sz w:val="22"/>
        </w:rPr>
        <w:t>• Administracion</w:t>
      </w:r>
    </w:p>
    <w:p>
      <w:pPr>
        <w:spacing w:after="40" w:before="40"/>
        <w:ind w:left="360"/>
      </w:pPr>
      <w:r>
        <w:rPr>
          <w:rFonts w:ascii="Calibri" w:hAnsi="Calibri"/>
          <w:sz w:val="22"/>
        </w:rPr>
        <w:t>• Familia</w:t>
      </w:r>
    </w:p>
    <w:p>
      <w:pPr>
        <w:spacing w:after="40" w:before="40"/>
        <w:ind w:left="360"/>
      </w:pPr>
      <w:r>
        <w:rPr>
          <w:rFonts w:ascii="Calibri" w:hAnsi="Calibri"/>
          <w:sz w:val="22"/>
        </w:rPr>
        <w:t>• Formación para niños con necesidades educativa en el pre-escolar</w:t>
      </w:r>
    </w:p>
    <w:p>
      <w:pPr>
        <w:spacing w:after="40" w:before="40"/>
        <w:ind w:left="360"/>
      </w:pPr>
      <w:r>
        <w:rPr>
          <w:rFonts w:ascii="Calibri" w:hAnsi="Calibri"/>
          <w:sz w:val="22"/>
        </w:rPr>
        <w:t>• Adaptaciones curriculares</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no registraron sugerencias específicas de capacitación en los datos disponibles.</w:t>
      </w:r>
    </w:p>
    <w:bookmarkEnd w:id="23"/>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lastRenderedPageBreak/>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Redu</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39CEC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8E0FC9">
        <w:rPr>
          <w:rFonts w:ascii="Arial" w:eastAsia="Tahoma" w:hAnsi="Arial" w:cs="Arial"/>
          <w:color w:val="000000"/>
        </w:rPr>
        <w:t>Maestría en Gestión Educativa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4</w:t>
      </w:r>
      <w:r w:rsidR="007F0B77">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5</w:t>
      </w:r>
      <w:r w:rsidR="007F0B77">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100,00%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6</w:t>
      </w:r>
      <w:r w:rsidR="007F0B77">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61,11%</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5,56%</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Abogado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Hacemos defensa legal el ambito penal, constitucional, administrativo, civil y familiar</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7</w:t>
      </w:r>
      <w:r w:rsidR="007F0B77">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Falta de experiencia</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8</w:t>
      </w:r>
      <w:r w:rsidR="007F0B77">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1</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100,00%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9</w:t>
      </w:r>
      <w:r w:rsidR="007F0B77">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61,11%</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5,56%</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"Sambate",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10</w:t>
      </w:r>
      <w:r w:rsidR="007F0B77">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27,78%</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México</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Unl</w:t>
      </w:r>
    </w:p>
    <w:p>
      <w:pPr>
        <w:spacing w:after="40" w:before="40"/>
        <w:ind w:left="360"/>
      </w:pPr>
      <w:r>
        <w:rPr>
          <w:rFonts w:ascii="Calibri" w:hAnsi="Calibri"/>
          <w:sz w:val="22"/>
        </w:rPr>
        <w:t>• Espe</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Yacambú</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Programa mecapacito - creando genios</w:t>
      </w:r>
    </w:p>
    <w:p>
      <w:pPr>
        <w:spacing w:after="40" w:before="40"/>
        <w:ind w:left="360"/>
      </w:pPr>
      <w:r>
        <w:rPr>
          <w:rFonts w:ascii="Calibri" w:hAnsi="Calibri"/>
          <w:sz w:val="22"/>
        </w:rPr>
        <w:t>• Ministerio de educación Pucesi universidad de Otavalo discorp</w:t>
      </w:r>
    </w:p>
    <w:p>
      <w:pPr>
        <w:spacing w:after="40" w:before="40"/>
        <w:ind w:left="360"/>
      </w:pPr>
      <w:r>
        <w:rPr>
          <w:rFonts w:ascii="Calibri" w:hAnsi="Calibri"/>
          <w:sz w:val="22"/>
        </w:rPr>
        <w:t>• Católicos</w:t>
      </w:r>
    </w:p>
    <w:p>
      <w:pPr>
        <w:spacing w:after="40" w:before="40"/>
        <w:ind w:left="360"/>
      </w:pPr>
      <w:r>
        <w:rPr>
          <w:rFonts w:ascii="Calibri" w:hAnsi="Calibri"/>
          <w:sz w:val="22"/>
        </w:rPr>
        <w:t>• Udla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disponibles muestran que ningún maestrantes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numPr>
          <w:ilvl w:val="0"/>
          <w:numId w:val="4"/>
        </w:numPr>
        <w:jc w:val="both"/>
        <w:rPr>
          <w:rFonts w:ascii="Arial" w:eastAsia="Tahoma" w:hAnsi="Arial" w:cs="Arial"/>
          <w:color w:val="000000"/>
        </w:rPr>
      </w:pPr>
      <w:r>
        <w:rPr/>
        <w:t>Los empleadores consultados no registraron sugerencias específicas de capacitación en los datos disponibles.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EN GESTIÓN EDUCATIVA - en linea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11</w:t>
      </w:r>
      <w:r w:rsidR="007F0B77">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27,78%</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44,44%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22,22%</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5,56%</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1 empleadores consultados, el 0,00% (0 empleadores) considera que la demanda es Alta, y el 100,00% (1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hombres (50,00%), en su mayoría solteros (50,00%), de entre 26 y 35 años (44,44%),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77,78% de los maestrantes expresa interés en actualizarse profesionalmente, destacando una preferencia marcada por programas de Doctorado (27,78%).</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(61,11%), seguido del sector privado (22,22%),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5,56%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16,67% de los maestrantes la considera efectiva, frente al 66,67%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7F0B7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0D3861A0">
              <wp:simplePos x="0" y="0"/>
              <wp:positionH relativeFrom="column">
                <wp:posOffset>4413885</wp:posOffset>
              </wp:positionH>
              <wp:positionV relativeFrom="paragraph">
                <wp:posOffset>-99695</wp:posOffset>
              </wp:positionV>
              <wp:extent cx="1722120" cy="435610"/>
              <wp:effectExtent l="0" t="0" r="0" b="2540"/>
              <wp:wrapNone/>
              <wp:docPr id="28" name=""/>
              <wp:cNvGraphicFramePr/>
              <a:graphic xmlns:a="http://schemas.openxmlformats.org/drawingml/2006/main">
                <a:graphicData uri="http://schemas.microsoft.com/office/word/2010/wordprocessingShape">
                  <wps:wsp>
                    <wps:cNvSpPr/>
                    <wps:spPr>
                      <a:xfrm>
                        <a:off x="0" y="0"/>
                        <a:ext cx="1722120" cy="435610"/>
                      </a:xfrm>
                      <a:prstGeom prst="rect">
                        <a:avLst/>
                      </a:prstGeom>
                      <a:solidFill>
                        <a:schemeClr val="lt1"/>
                      </a:solidFill>
                      <a:ln>
                        <a:noFill/>
                      </a:ln>
                    </wps:spPr>
                    <wps:txbx>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3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" fillcolor="white [3201]" stroked="f">
              <v:textbox inset="2.53958mm,1.2694mm,2.53958mm,1.2694mm">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7F0B77"/>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667F28-6959-40B7-A070-E7E775B25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30</Pages>
  <Words>7819</Words>
  <Characters>43005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348</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